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70D" w:rsidRDefault="005B570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5B570D" w:rsidRDefault="005B570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sidR="00454FE9">
        <w:rPr>
          <w:rFonts w:cs="Arial"/>
          <w:b/>
          <w:bCs/>
        </w:rPr>
        <w:t xml:space="preserve"> </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FF3D2C">
        <w:rPr>
          <w:rFonts w:cs="Arial"/>
          <w:b/>
          <w:bCs/>
        </w:rPr>
        <w:t xml:space="preserve"> </w:t>
      </w:r>
      <w:r w:rsidR="00644794">
        <w:rPr>
          <w:rFonts w:cs="Arial"/>
          <w:b/>
          <w:bCs/>
        </w:rPr>
        <w:t>15</w:t>
      </w:r>
      <w:r w:rsidR="00E30895">
        <w:rPr>
          <w:rFonts w:cs="Arial"/>
          <w:b/>
          <w:bCs/>
        </w:rPr>
        <w:t xml:space="preserve"> </w:t>
      </w:r>
      <w:r w:rsidR="00D80014">
        <w:rPr>
          <w:rFonts w:cs="Arial"/>
          <w:b/>
          <w:bCs/>
        </w:rPr>
        <w:t>October</w:t>
      </w:r>
      <w:r w:rsidR="00EF366A">
        <w:rPr>
          <w:rFonts w:cs="Arial"/>
          <w:b/>
          <w:bCs/>
        </w:rPr>
        <w:t xml:space="preserve"> 2015</w:t>
      </w:r>
      <w:r w:rsidR="002E2CA6" w:rsidRPr="002E2CA6">
        <w:t xml:space="preserve"> </w:t>
      </w:r>
      <w:r w:rsidR="002E2CA6">
        <w:t xml:space="preserve">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Executive Director</w:t>
      </w:r>
      <w:r>
        <w:rPr>
          <w:rFonts w:cs="Arial"/>
          <w:b/>
          <w:bCs/>
        </w:rPr>
        <w:tab/>
      </w:r>
      <w:r w:rsidR="0036530E">
        <w:rPr>
          <w:rFonts w:cs="Arial"/>
          <w:b/>
          <w:bCs/>
        </w:rPr>
        <w:t xml:space="preserve">Regeneration and </w:t>
      </w:r>
      <w:r w:rsidR="0048016E">
        <w:rPr>
          <w:rFonts w:cs="Arial"/>
          <w:b/>
          <w:bCs/>
        </w:rPr>
        <w:t xml:space="preserve">Housing </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proofErr w:type="spellStart"/>
      <w:r w:rsidR="0048016E">
        <w:rPr>
          <w:rFonts w:cs="Arial"/>
          <w:b/>
          <w:bCs/>
        </w:rPr>
        <w:t>Oxpens</w:t>
      </w:r>
      <w:proofErr w:type="spellEnd"/>
      <w:r w:rsidR="0048016E">
        <w:rPr>
          <w:rFonts w:cs="Arial"/>
          <w:b/>
          <w:bCs/>
        </w:rPr>
        <w:t xml:space="preserve"> Delivery 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80014">
        <w:rPr>
          <w:color w:val="000000"/>
        </w:rPr>
        <w:t xml:space="preserve">To provide an update and seek approval for an amendment to </w:t>
      </w:r>
      <w:r w:rsidR="00487CE9">
        <w:rPr>
          <w:color w:val="000000"/>
        </w:rPr>
        <w:t xml:space="preserve">the </w:t>
      </w:r>
      <w:proofErr w:type="spellStart"/>
      <w:r w:rsidR="00487CE9">
        <w:rPr>
          <w:color w:val="000000"/>
        </w:rPr>
        <w:t>Oxpens</w:t>
      </w:r>
      <w:proofErr w:type="spellEnd"/>
      <w:r w:rsidR="00487CE9">
        <w:rPr>
          <w:color w:val="000000"/>
        </w:rPr>
        <w:t xml:space="preserve"> </w:t>
      </w:r>
      <w:r w:rsidR="006204F7">
        <w:rPr>
          <w:color w:val="000000"/>
        </w:rPr>
        <w:t>D</w:t>
      </w:r>
      <w:r w:rsidR="00487CE9">
        <w:rPr>
          <w:color w:val="000000"/>
        </w:rPr>
        <w:t xml:space="preserve">elivery Strategy and </w:t>
      </w:r>
      <w:r w:rsidR="00D80014">
        <w:rPr>
          <w:color w:val="000000"/>
        </w:rPr>
        <w:t>budget</w:t>
      </w:r>
      <w:r w:rsidR="00487CE9">
        <w:rPr>
          <w:color w:val="000000"/>
        </w:rPr>
        <w:t>ary adjustments.</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48016E" w:rsidRPr="0048016E">
        <w:rPr>
          <w:b w:val="0"/>
          <w:bCs w:val="0"/>
        </w:rPr>
        <w:t>Yes</w:t>
      </w:r>
      <w:r w:rsidR="0048016E">
        <w:rPr>
          <w:b w:val="0"/>
          <w:bCs w:val="0"/>
          <w:i/>
        </w:rPr>
        <w:t xml:space="preserve"> </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812EE7"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EF366A">
        <w:rPr>
          <w:rFonts w:cs="Arial"/>
          <w:b/>
          <w:bCs/>
        </w:rPr>
        <w:t>s</w:t>
      </w:r>
      <w:r>
        <w:rPr>
          <w:rFonts w:cs="Arial"/>
          <w:b/>
          <w:bCs/>
        </w:rPr>
        <w:t xml:space="preserve">: </w:t>
      </w:r>
    </w:p>
    <w:p w:rsidR="00812EE7" w:rsidRDefault="0048016E">
      <w:pPr>
        <w:pBdr>
          <w:top w:val="single" w:sz="4" w:space="1" w:color="auto"/>
          <w:left w:val="single" w:sz="4" w:space="4" w:color="auto"/>
          <w:bottom w:val="single" w:sz="4" w:space="1" w:color="auto"/>
          <w:right w:val="single" w:sz="4" w:space="4" w:color="auto"/>
        </w:pBdr>
        <w:rPr>
          <w:rFonts w:cs="Arial"/>
          <w:bCs/>
        </w:rPr>
      </w:pPr>
      <w:r w:rsidRPr="00EF366A">
        <w:rPr>
          <w:rFonts w:cs="Arial"/>
          <w:bCs/>
        </w:rPr>
        <w:t>Cllr Bob Price</w:t>
      </w:r>
      <w:r w:rsidR="00EF366A" w:rsidRPr="00EF366A">
        <w:rPr>
          <w:rFonts w:cs="Arial"/>
          <w:bCs/>
        </w:rPr>
        <w:t>, Board Member for</w:t>
      </w:r>
      <w:r w:rsidRPr="00EF366A">
        <w:rPr>
          <w:rFonts w:cs="Arial"/>
          <w:bCs/>
        </w:rPr>
        <w:t xml:space="preserve"> </w:t>
      </w:r>
      <w:r w:rsidR="00CA1A09">
        <w:rPr>
          <w:rFonts w:cs="Arial"/>
          <w:bCs/>
        </w:rPr>
        <w:t>Corporate Strategy and Economic Development</w:t>
      </w:r>
      <w:r w:rsidR="00E30895">
        <w:rPr>
          <w:rFonts w:cs="Arial"/>
          <w:bCs/>
        </w:rPr>
        <w:t xml:space="preserve">; </w:t>
      </w:r>
    </w:p>
    <w:p w:rsidR="00812EE7" w:rsidRDefault="00EF366A">
      <w:pPr>
        <w:pBdr>
          <w:top w:val="single" w:sz="4" w:space="1" w:color="auto"/>
          <w:left w:val="single" w:sz="4" w:space="4" w:color="auto"/>
          <w:bottom w:val="single" w:sz="4" w:space="1" w:color="auto"/>
          <w:right w:val="single" w:sz="4" w:space="4" w:color="auto"/>
        </w:pBdr>
        <w:rPr>
          <w:rFonts w:cs="Arial"/>
          <w:bCs/>
        </w:rPr>
      </w:pPr>
      <w:r w:rsidRPr="00EF366A">
        <w:rPr>
          <w:rFonts w:cs="Arial"/>
          <w:bCs/>
        </w:rPr>
        <w:t>Cllr Ed Turner, Board Member for Finance, Asset Management and Public Health</w:t>
      </w:r>
      <w:r w:rsidR="00E30895">
        <w:rPr>
          <w:rFonts w:cs="Arial"/>
          <w:bCs/>
        </w:rPr>
        <w:t xml:space="preserve">; </w:t>
      </w:r>
    </w:p>
    <w:p w:rsidR="0048016E" w:rsidRDefault="00CA1A09">
      <w:pPr>
        <w:pBdr>
          <w:top w:val="single" w:sz="4" w:space="1" w:color="auto"/>
          <w:left w:val="single" w:sz="4" w:space="4" w:color="auto"/>
          <w:bottom w:val="single" w:sz="4" w:space="1" w:color="auto"/>
          <w:right w:val="single" w:sz="4" w:space="4" w:color="auto"/>
        </w:pBdr>
        <w:rPr>
          <w:rFonts w:cs="Arial"/>
          <w:b/>
          <w:bCs/>
        </w:rPr>
      </w:pPr>
      <w:proofErr w:type="gramStart"/>
      <w:r>
        <w:t xml:space="preserve">Councillor Alex Hollingsworth Board Member for </w:t>
      </w:r>
      <w:r>
        <w:rPr>
          <w:rFonts w:cs="Arial"/>
          <w:bCs/>
        </w:rPr>
        <w:t>Planning &amp; Regulatory</w:t>
      </w:r>
      <w:r w:rsidR="00C9578A">
        <w:rPr>
          <w:rFonts w:cs="Arial"/>
          <w:bCs/>
        </w:rPr>
        <w:t>.</w:t>
      </w:r>
      <w:proofErr w:type="gramEnd"/>
      <w:r>
        <w:rPr>
          <w:rFonts w:cs="Arial"/>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FA39FB">
        <w:rPr>
          <w:rFonts w:cs="Arial"/>
          <w:bCs/>
        </w:rPr>
        <w:t>Corpora</w:t>
      </w:r>
      <w:r w:rsidR="0048016E" w:rsidRPr="00FA39FB">
        <w:rPr>
          <w:rFonts w:cs="Arial"/>
          <w:bCs/>
        </w:rPr>
        <w:t>te Plan</w:t>
      </w:r>
      <w:r w:rsidR="00CA1A09">
        <w:rPr>
          <w:rFonts w:cs="Arial"/>
          <w:bCs/>
        </w:rPr>
        <w:t xml:space="preserve"> </w:t>
      </w:r>
      <w:r w:rsidR="0048016E" w:rsidRPr="00FA39FB">
        <w:rPr>
          <w:rFonts w:cs="Arial"/>
          <w:bCs/>
        </w:rPr>
        <w:t>- vibrant &amp; sustainable e</w:t>
      </w:r>
      <w:r w:rsidR="00FA39FB">
        <w:rPr>
          <w:rFonts w:cs="Arial"/>
          <w:bCs/>
        </w:rPr>
        <w:t>conomy; Core Strategy 2010; West</w:t>
      </w:r>
      <w:r w:rsidR="0048016E" w:rsidRPr="00FA39FB">
        <w:rPr>
          <w:rFonts w:cs="Arial"/>
          <w:bCs/>
        </w:rPr>
        <w:t xml:space="preserve"> E</w:t>
      </w:r>
      <w:r w:rsidR="00FA39FB">
        <w:rPr>
          <w:rFonts w:cs="Arial"/>
          <w:bCs/>
        </w:rPr>
        <w:t>n</w:t>
      </w:r>
      <w:r w:rsidR="005B570D">
        <w:rPr>
          <w:rFonts w:cs="Arial"/>
          <w:bCs/>
        </w:rPr>
        <w:t>d Area Action Plan 2008; R</w:t>
      </w:r>
      <w:r w:rsidR="0048016E" w:rsidRPr="00FA39FB">
        <w:rPr>
          <w:rFonts w:cs="Arial"/>
          <w:bCs/>
        </w:rPr>
        <w:t xml:space="preserve">egeneration Framework 2010; </w:t>
      </w:r>
      <w:proofErr w:type="spellStart"/>
      <w:r w:rsidR="0048016E" w:rsidRPr="00FA39FB">
        <w:rPr>
          <w:rFonts w:cs="Arial"/>
          <w:bCs/>
        </w:rPr>
        <w:t>Oxpens</w:t>
      </w:r>
      <w:proofErr w:type="spellEnd"/>
      <w:r w:rsidR="0048016E" w:rsidRPr="00FA39FB">
        <w:rPr>
          <w:rFonts w:cs="Arial"/>
          <w:bCs/>
        </w:rPr>
        <w:t xml:space="preserve"> SPD 2013</w:t>
      </w:r>
      <w:r w:rsidR="00E30895">
        <w:rPr>
          <w:rFonts w:cs="Arial"/>
          <w:bCs/>
        </w:rPr>
        <w:t>.</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EF366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FA39FB" w:rsidRPr="00EF366A">
        <w:rPr>
          <w:rFonts w:cs="Arial"/>
        </w:rPr>
        <w:t xml:space="preserve">That </w:t>
      </w:r>
      <w:r>
        <w:rPr>
          <w:rFonts w:cs="Arial"/>
        </w:rPr>
        <w:t xml:space="preserve">the </w:t>
      </w:r>
      <w:r w:rsidR="00FA39FB" w:rsidRPr="00EF366A">
        <w:rPr>
          <w:rFonts w:cs="Arial"/>
        </w:rPr>
        <w:t>City Executive Board</w:t>
      </w:r>
      <w:r w:rsidR="00E30895">
        <w:rPr>
          <w:rFonts w:cs="Arial"/>
        </w:rPr>
        <w:t xml:space="preserve"> resolves to</w:t>
      </w:r>
      <w:r w:rsidR="00FA39FB" w:rsidRPr="00EF366A">
        <w:rPr>
          <w:rFonts w:cs="Arial"/>
        </w:rPr>
        <w:t>:</w:t>
      </w:r>
    </w:p>
    <w:p w:rsidR="00EF366A" w:rsidRPr="00EF366A" w:rsidRDefault="00EF366A">
      <w:pPr>
        <w:pBdr>
          <w:top w:val="single" w:sz="4" w:space="1" w:color="auto"/>
          <w:left w:val="single" w:sz="4" w:space="4" w:color="auto"/>
          <w:bottom w:val="single" w:sz="4" w:space="1" w:color="auto"/>
          <w:right w:val="single" w:sz="4" w:space="4" w:color="auto"/>
        </w:pBdr>
        <w:tabs>
          <w:tab w:val="left" w:pos="3048"/>
        </w:tabs>
        <w:rPr>
          <w:rFonts w:cs="Arial"/>
        </w:rPr>
      </w:pPr>
    </w:p>
    <w:p w:rsidR="0004640D" w:rsidRPr="00E30895" w:rsidRDefault="0004640D" w:rsidP="00E30895">
      <w:pPr>
        <w:pStyle w:val="ListParagraph"/>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sidRPr="00812EE7">
        <w:rPr>
          <w:rFonts w:cs="Arial"/>
          <w:b/>
        </w:rPr>
        <w:t>Note</w:t>
      </w:r>
      <w:r w:rsidRPr="00E30895">
        <w:rPr>
          <w:rFonts w:cs="Arial"/>
        </w:rPr>
        <w:t xml:space="preserve"> the contents of this report</w:t>
      </w:r>
      <w:r w:rsidR="00E30895">
        <w:rPr>
          <w:rFonts w:cs="Arial"/>
        </w:rPr>
        <w:t>;</w:t>
      </w:r>
    </w:p>
    <w:p w:rsidR="0004640D" w:rsidRPr="00E30895" w:rsidRDefault="0004640D" w:rsidP="00E30895">
      <w:pPr>
        <w:pStyle w:val="ListParagraph"/>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sidRPr="00A81980">
        <w:rPr>
          <w:rFonts w:cs="Arial"/>
          <w:b/>
        </w:rPr>
        <w:t xml:space="preserve">Delegate </w:t>
      </w:r>
      <w:r w:rsidR="00A81980" w:rsidRPr="00A81980">
        <w:rPr>
          <w:rFonts w:cs="Arial"/>
          <w:b/>
        </w:rPr>
        <w:t>to</w:t>
      </w:r>
      <w:r w:rsidRPr="00E30895">
        <w:rPr>
          <w:rFonts w:cs="Arial"/>
        </w:rPr>
        <w:t xml:space="preserve"> the </w:t>
      </w:r>
      <w:r w:rsidR="00FA2BE6" w:rsidRPr="00E30895">
        <w:rPr>
          <w:rFonts w:cs="Arial"/>
        </w:rPr>
        <w:t>Executive</w:t>
      </w:r>
      <w:r w:rsidRPr="00E30895">
        <w:rPr>
          <w:rFonts w:cs="Arial"/>
        </w:rPr>
        <w:t xml:space="preserve"> Director </w:t>
      </w:r>
      <w:r w:rsidR="00FA2BE6" w:rsidRPr="00E30895">
        <w:rPr>
          <w:rFonts w:cs="Arial"/>
        </w:rPr>
        <w:t xml:space="preserve">Regeneration and </w:t>
      </w:r>
      <w:r w:rsidRPr="00E30895">
        <w:rPr>
          <w:rFonts w:cs="Arial"/>
        </w:rPr>
        <w:t xml:space="preserve">Housing </w:t>
      </w:r>
      <w:r w:rsidR="00A81980">
        <w:rPr>
          <w:rFonts w:cs="Arial"/>
        </w:rPr>
        <w:t>authority</w:t>
      </w:r>
      <w:r w:rsidRPr="00E30895">
        <w:rPr>
          <w:rFonts w:cs="Arial"/>
        </w:rPr>
        <w:t xml:space="preserve"> to agree terms for the acquisition of land </w:t>
      </w:r>
      <w:r w:rsidR="00FA2BE6" w:rsidRPr="00E30895">
        <w:rPr>
          <w:rFonts w:cs="Arial"/>
        </w:rPr>
        <w:t xml:space="preserve">at </w:t>
      </w:r>
      <w:proofErr w:type="spellStart"/>
      <w:r w:rsidR="00FA2BE6" w:rsidRPr="00E30895">
        <w:rPr>
          <w:rFonts w:cs="Arial"/>
        </w:rPr>
        <w:t>Oxpens</w:t>
      </w:r>
      <w:proofErr w:type="spellEnd"/>
      <w:r w:rsidR="00FA2BE6" w:rsidRPr="00E30895">
        <w:rPr>
          <w:rFonts w:cs="Arial"/>
        </w:rPr>
        <w:t xml:space="preserve"> </w:t>
      </w:r>
      <w:r w:rsidRPr="00E30895">
        <w:rPr>
          <w:rFonts w:cs="Arial"/>
        </w:rPr>
        <w:t xml:space="preserve">(in consultation with the </w:t>
      </w:r>
      <w:r w:rsidR="00A3451C" w:rsidRPr="00E30895">
        <w:rPr>
          <w:rFonts w:cs="Arial"/>
        </w:rPr>
        <w:t xml:space="preserve">Chief Executive, </w:t>
      </w:r>
      <w:r w:rsidRPr="00E30895">
        <w:rPr>
          <w:rFonts w:cs="Arial"/>
        </w:rPr>
        <w:t xml:space="preserve">s151 </w:t>
      </w:r>
      <w:r w:rsidR="00A81980">
        <w:rPr>
          <w:rFonts w:cs="Arial"/>
        </w:rPr>
        <w:t>Officer</w:t>
      </w:r>
      <w:r w:rsidR="00A3451C" w:rsidRPr="00E30895">
        <w:rPr>
          <w:rFonts w:cs="Arial"/>
        </w:rPr>
        <w:t xml:space="preserve"> </w:t>
      </w:r>
      <w:r w:rsidRPr="00E30895">
        <w:rPr>
          <w:rFonts w:cs="Arial"/>
        </w:rPr>
        <w:t>and Monitoring Officer)</w:t>
      </w:r>
      <w:r w:rsidR="0036530E" w:rsidRPr="00E30895">
        <w:rPr>
          <w:rFonts w:cs="Arial"/>
        </w:rPr>
        <w:t xml:space="preserve"> subject to Council agreeing the recommendation set out at number </w:t>
      </w:r>
      <w:r w:rsidR="004026FD" w:rsidRPr="00E30895">
        <w:rPr>
          <w:rFonts w:cs="Arial"/>
        </w:rPr>
        <w:t>4</w:t>
      </w:r>
      <w:r w:rsidR="0036530E" w:rsidRPr="00E30895">
        <w:rPr>
          <w:rFonts w:cs="Arial"/>
        </w:rPr>
        <w:t xml:space="preserve"> below;</w:t>
      </w:r>
    </w:p>
    <w:p w:rsidR="0004640D" w:rsidRPr="00E30895" w:rsidRDefault="00967E51" w:rsidP="00E30895">
      <w:pPr>
        <w:pStyle w:val="ListParagraph"/>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sidRPr="00967E51">
        <w:rPr>
          <w:rFonts w:cs="Arial"/>
          <w:b/>
        </w:rPr>
        <w:t>Approve</w:t>
      </w:r>
      <w:r>
        <w:rPr>
          <w:rFonts w:cs="Arial"/>
        </w:rPr>
        <w:t xml:space="preserve"> </w:t>
      </w:r>
      <w:r w:rsidR="0004640D" w:rsidRPr="00E30895">
        <w:rPr>
          <w:rFonts w:cs="Arial"/>
        </w:rPr>
        <w:t xml:space="preserve">the creation of a wholly owned investment vehicle and </w:t>
      </w:r>
      <w:r w:rsidR="0036530E" w:rsidRPr="00E30895">
        <w:rPr>
          <w:rFonts w:cs="Arial"/>
        </w:rPr>
        <w:t xml:space="preserve">the </w:t>
      </w:r>
      <w:r w:rsidR="0004640D" w:rsidRPr="00E30895">
        <w:rPr>
          <w:rFonts w:cs="Arial"/>
        </w:rPr>
        <w:t>commencement of a competitive exercise to secure a joint venture partner to become a Member of such a</w:t>
      </w:r>
      <w:r w:rsidR="0036530E" w:rsidRPr="00E30895">
        <w:rPr>
          <w:rFonts w:cs="Arial"/>
        </w:rPr>
        <w:t xml:space="preserve"> vehicle</w:t>
      </w:r>
      <w:r w:rsidR="00A81980">
        <w:rPr>
          <w:rFonts w:cs="Arial"/>
        </w:rPr>
        <w:t>; and</w:t>
      </w:r>
    </w:p>
    <w:p w:rsidR="00EF366A" w:rsidRPr="00E30895" w:rsidRDefault="0004640D" w:rsidP="00E30895">
      <w:pPr>
        <w:pStyle w:val="ListParagraph"/>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sidRPr="00A81980">
        <w:rPr>
          <w:rFonts w:cs="Arial"/>
          <w:b/>
        </w:rPr>
        <w:t>Recommend Council</w:t>
      </w:r>
      <w:r w:rsidR="00A81980" w:rsidRPr="00A81980">
        <w:rPr>
          <w:rFonts w:cs="Arial"/>
          <w:b/>
        </w:rPr>
        <w:t xml:space="preserve"> to resolve to</w:t>
      </w:r>
      <w:r w:rsidRPr="00E30895">
        <w:rPr>
          <w:rFonts w:cs="Arial"/>
        </w:rPr>
        <w:t xml:space="preserve"> </w:t>
      </w:r>
      <w:r w:rsidR="007D1210">
        <w:rPr>
          <w:rFonts w:cs="Arial"/>
        </w:rPr>
        <w:t>approve t</w:t>
      </w:r>
      <w:bookmarkStart w:id="0" w:name="_GoBack"/>
      <w:bookmarkEnd w:id="0"/>
      <w:r w:rsidRPr="00E30895">
        <w:rPr>
          <w:rFonts w:cs="Arial"/>
        </w:rPr>
        <w:t>he establishment of a capital budget of £8.4m to progress the project through the next stages.</w:t>
      </w:r>
    </w:p>
    <w:p w:rsidR="00644794" w:rsidRDefault="00644794">
      <w:pPr>
        <w:rPr>
          <w:rFonts w:cs="Arial"/>
          <w:b/>
        </w:rPr>
      </w:pPr>
    </w:p>
    <w:p w:rsidR="00644794" w:rsidRDefault="00644794">
      <w:pPr>
        <w:rPr>
          <w:rFonts w:cs="Arial"/>
          <w:b/>
        </w:rPr>
      </w:pPr>
    </w:p>
    <w:p w:rsidR="00644794" w:rsidRDefault="00644794">
      <w:pPr>
        <w:rPr>
          <w:rFonts w:cs="Arial"/>
          <w:b/>
        </w:rPr>
      </w:pPr>
    </w:p>
    <w:p w:rsidR="00644794" w:rsidRDefault="00644794">
      <w:pPr>
        <w:rPr>
          <w:rFonts w:cs="Arial"/>
          <w:b/>
        </w:rPr>
      </w:pPr>
    </w:p>
    <w:p w:rsidR="00713675" w:rsidRDefault="00713675">
      <w:pPr>
        <w:rPr>
          <w:rFonts w:cs="Arial"/>
        </w:rPr>
      </w:pPr>
      <w:r w:rsidRPr="007B6E54">
        <w:rPr>
          <w:rFonts w:cs="Arial"/>
          <w:b/>
        </w:rPr>
        <w:t>Appendices</w:t>
      </w:r>
      <w:r>
        <w:rPr>
          <w:rFonts w:cs="Arial"/>
        </w:rPr>
        <w:t xml:space="preserve"> </w:t>
      </w:r>
    </w:p>
    <w:p w:rsidR="00713675" w:rsidRPr="00E30895" w:rsidRDefault="007B6E54">
      <w:pPr>
        <w:rPr>
          <w:rFonts w:cs="Arial"/>
        </w:rPr>
      </w:pPr>
      <w:r>
        <w:rPr>
          <w:rFonts w:cs="Arial"/>
        </w:rPr>
        <w:t xml:space="preserve">Appendix </w:t>
      </w:r>
      <w:r w:rsidR="00440192">
        <w:rPr>
          <w:rFonts w:cs="Arial"/>
        </w:rPr>
        <w:t>1</w:t>
      </w:r>
      <w:r>
        <w:rPr>
          <w:rFonts w:cs="Arial"/>
        </w:rPr>
        <w:t xml:space="preserve"> </w:t>
      </w:r>
      <w:r w:rsidR="00E30895">
        <w:rPr>
          <w:rFonts w:cs="Arial"/>
        </w:rPr>
        <w:tab/>
      </w:r>
      <w:r w:rsidRPr="00E30895">
        <w:rPr>
          <w:rFonts w:cs="Arial"/>
        </w:rPr>
        <w:t>Risk Register</w:t>
      </w:r>
    </w:p>
    <w:p w:rsidR="00440192" w:rsidRPr="00E30895" w:rsidRDefault="007B6E54">
      <w:pPr>
        <w:rPr>
          <w:rFonts w:cs="Arial"/>
        </w:rPr>
      </w:pPr>
      <w:r w:rsidRPr="00E30895">
        <w:rPr>
          <w:rFonts w:cs="Arial"/>
        </w:rPr>
        <w:t xml:space="preserve">Appendix </w:t>
      </w:r>
      <w:r w:rsidR="00440192" w:rsidRPr="00E30895">
        <w:rPr>
          <w:rFonts w:cs="Arial"/>
        </w:rPr>
        <w:t>2</w:t>
      </w:r>
      <w:r w:rsidRPr="00E30895">
        <w:rPr>
          <w:rFonts w:cs="Arial"/>
        </w:rPr>
        <w:t xml:space="preserve"> </w:t>
      </w:r>
      <w:r w:rsidR="001D24BA" w:rsidRPr="00E30895">
        <w:rPr>
          <w:rFonts w:cs="Arial"/>
        </w:rPr>
        <w:t xml:space="preserve"> </w:t>
      </w:r>
      <w:r w:rsidR="00E30895" w:rsidRPr="00E30895">
        <w:rPr>
          <w:rFonts w:cs="Arial"/>
        </w:rPr>
        <w:tab/>
        <w:t>Confidential Appendix</w:t>
      </w:r>
    </w:p>
    <w:p w:rsidR="00EE3880" w:rsidRPr="00440192" w:rsidRDefault="00EE3880">
      <w:pPr>
        <w:rPr>
          <w:rFonts w:cs="Arial"/>
        </w:rPr>
      </w:pPr>
    </w:p>
    <w:p w:rsidR="00EE3880" w:rsidRDefault="00EE3880" w:rsidP="00EE3880">
      <w:pPr>
        <w:rPr>
          <w:rFonts w:cs="Arial"/>
          <w:b/>
        </w:rPr>
      </w:pPr>
    </w:p>
    <w:p w:rsidR="007B6E54" w:rsidRDefault="007B6E54" w:rsidP="00E30895">
      <w:pPr>
        <w:rPr>
          <w:rFonts w:cs="Arial"/>
          <w:b/>
        </w:rPr>
      </w:pPr>
      <w:r>
        <w:rPr>
          <w:rFonts w:cs="Arial"/>
          <w:b/>
        </w:rPr>
        <w:t>Background</w:t>
      </w:r>
      <w:r w:rsidR="001C3FEE">
        <w:rPr>
          <w:rFonts w:cs="Arial"/>
          <w:b/>
        </w:rPr>
        <w:tab/>
      </w:r>
    </w:p>
    <w:p w:rsidR="00C3319F" w:rsidRPr="006579D1" w:rsidRDefault="00C3319F" w:rsidP="006579D1">
      <w:pPr>
        <w:rPr>
          <w:rFonts w:cs="Arial"/>
        </w:rPr>
      </w:pPr>
    </w:p>
    <w:p w:rsidR="00D27906" w:rsidRDefault="00D27906" w:rsidP="00CA1A09">
      <w:pPr>
        <w:pStyle w:val="ListParagraph"/>
        <w:numPr>
          <w:ilvl w:val="0"/>
          <w:numId w:val="3"/>
        </w:numPr>
        <w:rPr>
          <w:rFonts w:cs="Arial"/>
        </w:rPr>
      </w:pPr>
      <w:r>
        <w:rPr>
          <w:rFonts w:cs="Arial"/>
        </w:rPr>
        <w:t>In April 2015, CEB agreed</w:t>
      </w:r>
      <w:r w:rsidR="00CA1A09">
        <w:rPr>
          <w:rFonts w:cs="Arial"/>
        </w:rPr>
        <w:t xml:space="preserve"> to e</w:t>
      </w:r>
      <w:r w:rsidR="00CA1A09" w:rsidRPr="00CA1A09">
        <w:rPr>
          <w:rFonts w:cs="Arial"/>
        </w:rPr>
        <w:t>stablish an investment vehicle with a private sector partner, Exe</w:t>
      </w:r>
      <w:r>
        <w:rPr>
          <w:rFonts w:cs="Arial"/>
        </w:rPr>
        <w:t>mplar Properties Ltd, and to</w:t>
      </w:r>
      <w:r w:rsidR="00CA1A09" w:rsidRPr="00CA1A09">
        <w:rPr>
          <w:rFonts w:cs="Arial"/>
        </w:rPr>
        <w:t xml:space="preserve"> an agreement with the Department for Transport/Cabinet Office (</w:t>
      </w:r>
      <w:proofErr w:type="spellStart"/>
      <w:r w:rsidR="00CA1A09" w:rsidRPr="00CA1A09">
        <w:rPr>
          <w:rFonts w:cs="Arial"/>
        </w:rPr>
        <w:t>DfT</w:t>
      </w:r>
      <w:proofErr w:type="spellEnd"/>
      <w:r w:rsidR="00CA1A09" w:rsidRPr="00CA1A09">
        <w:rPr>
          <w:rFonts w:cs="Arial"/>
        </w:rPr>
        <w:t>/CO) for the a</w:t>
      </w:r>
      <w:r>
        <w:rPr>
          <w:rFonts w:cs="Arial"/>
        </w:rPr>
        <w:t xml:space="preserve">cquisition of the railway lands. The background to the project and fuller details are as set out in the previous CEB paper and as such are not repeated here. </w:t>
      </w:r>
    </w:p>
    <w:p w:rsidR="00D27906" w:rsidRPr="00C3319F" w:rsidRDefault="00D27906" w:rsidP="00C3319F">
      <w:pPr>
        <w:rPr>
          <w:rFonts w:cs="Arial"/>
        </w:rPr>
      </w:pPr>
    </w:p>
    <w:p w:rsidR="00DE6443" w:rsidRDefault="00D27906" w:rsidP="00DE6443">
      <w:pPr>
        <w:pStyle w:val="ListParagraph"/>
        <w:numPr>
          <w:ilvl w:val="0"/>
          <w:numId w:val="3"/>
        </w:numPr>
        <w:rPr>
          <w:rFonts w:cs="Arial"/>
        </w:rPr>
      </w:pPr>
      <w:r>
        <w:rPr>
          <w:rFonts w:cs="Arial"/>
        </w:rPr>
        <w:t>The partner withdrew at late stage as it no longer wished</w:t>
      </w:r>
      <w:r w:rsidR="00E27129">
        <w:rPr>
          <w:rFonts w:cs="Arial"/>
        </w:rPr>
        <w:t xml:space="preserve"> to proceed on the agreed basis. </w:t>
      </w:r>
      <w:r>
        <w:rPr>
          <w:rFonts w:cs="Arial"/>
        </w:rPr>
        <w:t>This report sets out the proposed revised arrangeme</w:t>
      </w:r>
      <w:r w:rsidR="00DE6443">
        <w:rPr>
          <w:rFonts w:cs="Arial"/>
        </w:rPr>
        <w:t>nts and budgetary implications.</w:t>
      </w:r>
    </w:p>
    <w:p w:rsidR="00DE6443" w:rsidRPr="00DE6443" w:rsidRDefault="00DE6443" w:rsidP="00DE6443">
      <w:pPr>
        <w:pStyle w:val="ListParagraph"/>
        <w:rPr>
          <w:rFonts w:cs="Arial"/>
        </w:rPr>
      </w:pPr>
    </w:p>
    <w:p w:rsidR="00DE6443" w:rsidRPr="00DE6443" w:rsidRDefault="00DE6443" w:rsidP="00E30895">
      <w:pPr>
        <w:pStyle w:val="ListParagraph"/>
        <w:ind w:left="0"/>
        <w:rPr>
          <w:rFonts w:cs="Arial"/>
          <w:b/>
        </w:rPr>
      </w:pPr>
      <w:r w:rsidRPr="00DE6443">
        <w:rPr>
          <w:rFonts w:cs="Arial"/>
          <w:b/>
        </w:rPr>
        <w:t>Priority</w:t>
      </w:r>
    </w:p>
    <w:p w:rsidR="00DE6443" w:rsidRPr="00DE6443" w:rsidRDefault="00DE6443" w:rsidP="00DE6443">
      <w:pPr>
        <w:pStyle w:val="ListParagraph"/>
        <w:rPr>
          <w:rFonts w:cs="Arial"/>
        </w:rPr>
      </w:pPr>
    </w:p>
    <w:p w:rsidR="00DE6443" w:rsidRPr="00DE6443" w:rsidRDefault="00DE6443" w:rsidP="00DE6443">
      <w:pPr>
        <w:pStyle w:val="ListParagraph"/>
        <w:numPr>
          <w:ilvl w:val="0"/>
          <w:numId w:val="3"/>
        </w:numPr>
        <w:rPr>
          <w:rFonts w:cs="Arial"/>
        </w:rPr>
      </w:pPr>
      <w:r w:rsidRPr="00DE6443">
        <w:rPr>
          <w:rFonts w:cs="Arial"/>
        </w:rPr>
        <w:t xml:space="preserve">The </w:t>
      </w:r>
      <w:proofErr w:type="spellStart"/>
      <w:r w:rsidRPr="00DE6443">
        <w:rPr>
          <w:rFonts w:cs="Arial"/>
        </w:rPr>
        <w:t>Oxpens</w:t>
      </w:r>
      <w:proofErr w:type="spellEnd"/>
      <w:r w:rsidRPr="00DE6443">
        <w:rPr>
          <w:rFonts w:cs="Arial"/>
        </w:rPr>
        <w:t xml:space="preserve"> development is a strategic priority in the Oxford City Deal and the Oxfordshire Strategic Economic Plan and unlocks major private sector investment and jobs as well as delivering significant wider benefits, including:</w:t>
      </w:r>
    </w:p>
    <w:p w:rsidR="00DE6443" w:rsidRDefault="00DE6443" w:rsidP="00DE6443">
      <w:pPr>
        <w:pStyle w:val="ListParagraph"/>
        <w:numPr>
          <w:ilvl w:val="0"/>
          <w:numId w:val="13"/>
        </w:numPr>
        <w:rPr>
          <w:rFonts w:cs="Arial"/>
        </w:rPr>
      </w:pPr>
      <w:r w:rsidRPr="00DE6443">
        <w:rPr>
          <w:rFonts w:cs="Arial"/>
        </w:rPr>
        <w:t>essential b</w:t>
      </w:r>
      <w:r>
        <w:rPr>
          <w:rFonts w:cs="Arial"/>
        </w:rPr>
        <w:t xml:space="preserve">usiness space and accommodation </w:t>
      </w:r>
      <w:r w:rsidRPr="00DE6443">
        <w:rPr>
          <w:rFonts w:cs="Arial"/>
        </w:rPr>
        <w:t>for new and growing enterprises and services which require links to the u</w:t>
      </w:r>
      <w:r>
        <w:rPr>
          <w:rFonts w:cs="Arial"/>
        </w:rPr>
        <w:t>niversities and service economy</w:t>
      </w:r>
    </w:p>
    <w:p w:rsidR="00DE6443" w:rsidRDefault="00DE6443" w:rsidP="00DE6443">
      <w:pPr>
        <w:pStyle w:val="ListParagraph"/>
        <w:numPr>
          <w:ilvl w:val="0"/>
          <w:numId w:val="13"/>
        </w:numPr>
        <w:rPr>
          <w:rFonts w:cs="Arial"/>
        </w:rPr>
      </w:pPr>
      <w:r w:rsidRPr="00DE6443">
        <w:rPr>
          <w:rFonts w:cs="Arial"/>
        </w:rPr>
        <w:t xml:space="preserve">city centre regeneration linked to major investment committed at the railway station and Westgate (£500m </w:t>
      </w:r>
      <w:r>
        <w:rPr>
          <w:rFonts w:cs="Arial"/>
        </w:rPr>
        <w:t>redevelopment starting in 2015)</w:t>
      </w:r>
    </w:p>
    <w:p w:rsidR="00DE6443" w:rsidRDefault="00DE6443" w:rsidP="00DE6443">
      <w:pPr>
        <w:pStyle w:val="ListParagraph"/>
        <w:numPr>
          <w:ilvl w:val="0"/>
          <w:numId w:val="13"/>
        </w:numPr>
        <w:rPr>
          <w:rFonts w:cs="Arial"/>
        </w:rPr>
      </w:pPr>
      <w:r w:rsidRPr="00DE6443">
        <w:rPr>
          <w:rFonts w:cs="Arial"/>
        </w:rPr>
        <w:t>transport improvements and flooding infrastructure which are essential to en</w:t>
      </w:r>
      <w:r>
        <w:rPr>
          <w:rFonts w:cs="Arial"/>
        </w:rPr>
        <w:t>able the city’s economy to grow</w:t>
      </w:r>
    </w:p>
    <w:p w:rsidR="00DE6443" w:rsidRDefault="00DE6443" w:rsidP="00DE6443">
      <w:pPr>
        <w:pStyle w:val="ListParagraph"/>
        <w:numPr>
          <w:ilvl w:val="0"/>
          <w:numId w:val="13"/>
        </w:numPr>
        <w:rPr>
          <w:rFonts w:cs="Arial"/>
        </w:rPr>
      </w:pPr>
      <w:r w:rsidRPr="00DE6443">
        <w:rPr>
          <w:rFonts w:cs="Arial"/>
        </w:rPr>
        <w:t xml:space="preserve">providing a platform for wider regeneration including employment areas near the station and </w:t>
      </w:r>
      <w:proofErr w:type="spellStart"/>
      <w:r w:rsidRPr="00DE6443">
        <w:rPr>
          <w:rFonts w:cs="Arial"/>
        </w:rPr>
        <w:t>Osney</w:t>
      </w:r>
      <w:proofErr w:type="spellEnd"/>
      <w:r w:rsidRPr="00DE6443">
        <w:rPr>
          <w:rFonts w:cs="Arial"/>
        </w:rPr>
        <w:t xml:space="preserve"> Mead, and supporting redevel</w:t>
      </w:r>
      <w:r>
        <w:rPr>
          <w:rFonts w:cs="Arial"/>
        </w:rPr>
        <w:t xml:space="preserve">opment around </w:t>
      </w:r>
      <w:proofErr w:type="spellStart"/>
      <w:r>
        <w:rPr>
          <w:rFonts w:cs="Arial"/>
        </w:rPr>
        <w:t>Frideswide</w:t>
      </w:r>
      <w:proofErr w:type="spellEnd"/>
      <w:r>
        <w:rPr>
          <w:rFonts w:cs="Arial"/>
        </w:rPr>
        <w:t xml:space="preserve"> Square</w:t>
      </w:r>
    </w:p>
    <w:p w:rsidR="00DE6443" w:rsidRDefault="00DE6443" w:rsidP="00DE6443">
      <w:pPr>
        <w:pStyle w:val="ListParagraph"/>
        <w:numPr>
          <w:ilvl w:val="0"/>
          <w:numId w:val="13"/>
        </w:numPr>
        <w:rPr>
          <w:rFonts w:cs="Arial"/>
        </w:rPr>
      </w:pPr>
      <w:proofErr w:type="gramStart"/>
      <w:r w:rsidRPr="00DE6443">
        <w:rPr>
          <w:rFonts w:cs="Arial"/>
        </w:rPr>
        <w:t>providing</w:t>
      </w:r>
      <w:proofErr w:type="gramEnd"/>
      <w:r w:rsidRPr="00DE6443">
        <w:rPr>
          <w:rFonts w:cs="Arial"/>
        </w:rPr>
        <w:t xml:space="preserve"> new market and affordable housing (over 300 homes), and visitor accommodation.</w:t>
      </w:r>
    </w:p>
    <w:p w:rsidR="00DE6443" w:rsidRPr="00DE6443" w:rsidRDefault="00DE6443" w:rsidP="00DE6443">
      <w:pPr>
        <w:pStyle w:val="ListParagraph"/>
        <w:rPr>
          <w:rFonts w:cs="Arial"/>
        </w:rPr>
      </w:pPr>
    </w:p>
    <w:p w:rsidR="00DE6443" w:rsidRDefault="00A1734A" w:rsidP="00E30895">
      <w:pPr>
        <w:rPr>
          <w:rFonts w:cs="Arial"/>
          <w:b/>
        </w:rPr>
      </w:pPr>
      <w:r>
        <w:rPr>
          <w:rFonts w:cs="Arial"/>
          <w:b/>
        </w:rPr>
        <w:t>Timing &amp; Way Forward</w:t>
      </w:r>
    </w:p>
    <w:p w:rsidR="00CA1A09" w:rsidRPr="00DE6443" w:rsidRDefault="00DE6443" w:rsidP="00DE6443">
      <w:pPr>
        <w:ind w:firstLine="360"/>
        <w:rPr>
          <w:rFonts w:cs="Arial"/>
          <w:b/>
        </w:rPr>
      </w:pPr>
      <w:r w:rsidRPr="00DE6443">
        <w:rPr>
          <w:rFonts w:cs="Arial"/>
          <w:b/>
        </w:rPr>
        <w:t xml:space="preserve"> </w:t>
      </w:r>
    </w:p>
    <w:p w:rsidR="0004640D" w:rsidRDefault="00E27129" w:rsidP="0004640D">
      <w:pPr>
        <w:pStyle w:val="ListParagraph"/>
        <w:numPr>
          <w:ilvl w:val="0"/>
          <w:numId w:val="3"/>
        </w:numPr>
        <w:rPr>
          <w:rFonts w:cs="Arial"/>
        </w:rPr>
      </w:pPr>
      <w:r w:rsidRPr="002D4172">
        <w:rPr>
          <w:rFonts w:cs="Arial"/>
        </w:rPr>
        <w:t xml:space="preserve">Central Government is still to confirm how it </w:t>
      </w:r>
      <w:r w:rsidR="006204F7" w:rsidRPr="002D4172">
        <w:rPr>
          <w:rFonts w:cs="Arial"/>
        </w:rPr>
        <w:t xml:space="preserve">now </w:t>
      </w:r>
      <w:r w:rsidRPr="002D4172">
        <w:rPr>
          <w:rFonts w:cs="Arial"/>
        </w:rPr>
        <w:t xml:space="preserve">wishes to handle the disposal of the railway lands at </w:t>
      </w:r>
      <w:proofErr w:type="spellStart"/>
      <w:r w:rsidRPr="002D4172">
        <w:rPr>
          <w:rFonts w:cs="Arial"/>
        </w:rPr>
        <w:t>Oxpens</w:t>
      </w:r>
      <w:proofErr w:type="spellEnd"/>
      <w:r w:rsidR="006204F7" w:rsidRPr="002D4172">
        <w:rPr>
          <w:rFonts w:cs="Arial"/>
        </w:rPr>
        <w:t xml:space="preserve">. </w:t>
      </w:r>
      <w:r w:rsidR="00A3451C">
        <w:rPr>
          <w:rFonts w:cs="Arial"/>
        </w:rPr>
        <w:t>It</w:t>
      </w:r>
      <w:r w:rsidR="00D500C8">
        <w:rPr>
          <w:rFonts w:cs="Arial"/>
        </w:rPr>
        <w:t xml:space="preserve"> is possible</w:t>
      </w:r>
      <w:r w:rsidR="006204F7" w:rsidRPr="002D4172">
        <w:rPr>
          <w:rFonts w:cs="Arial"/>
        </w:rPr>
        <w:t xml:space="preserve"> that </w:t>
      </w:r>
      <w:r w:rsidR="00D500C8">
        <w:rPr>
          <w:rFonts w:cs="Arial"/>
        </w:rPr>
        <w:t>the</w:t>
      </w:r>
      <w:r w:rsidR="006204F7" w:rsidRPr="002D4172">
        <w:rPr>
          <w:rFonts w:cs="Arial"/>
        </w:rPr>
        <w:t xml:space="preserve"> Government </w:t>
      </w:r>
      <w:r w:rsidR="002D4172" w:rsidRPr="002D4172">
        <w:rPr>
          <w:rFonts w:cs="Arial"/>
        </w:rPr>
        <w:t xml:space="preserve">(through London and Continental Railways who </w:t>
      </w:r>
      <w:r w:rsidR="00D500C8">
        <w:rPr>
          <w:rFonts w:cs="Arial"/>
        </w:rPr>
        <w:t>are the owners of</w:t>
      </w:r>
      <w:r w:rsidR="002D4172" w:rsidRPr="002D4172">
        <w:rPr>
          <w:rFonts w:cs="Arial"/>
        </w:rPr>
        <w:t xml:space="preserve"> the site)</w:t>
      </w:r>
      <w:r w:rsidR="002D4172">
        <w:rPr>
          <w:rFonts w:cs="Arial"/>
        </w:rPr>
        <w:t xml:space="preserve"> </w:t>
      </w:r>
      <w:r w:rsidR="006204F7" w:rsidRPr="002D4172">
        <w:rPr>
          <w:rFonts w:cs="Arial"/>
        </w:rPr>
        <w:t>will offer the site for sale</w:t>
      </w:r>
      <w:r w:rsidR="002D4172" w:rsidRPr="002D4172">
        <w:rPr>
          <w:rFonts w:cs="Arial"/>
        </w:rPr>
        <w:t xml:space="preserve"> to the </w:t>
      </w:r>
      <w:r w:rsidR="002D4172">
        <w:rPr>
          <w:rFonts w:cs="Arial"/>
        </w:rPr>
        <w:t>previous bidders</w:t>
      </w:r>
      <w:r w:rsidR="002D4172" w:rsidRPr="002D4172">
        <w:rPr>
          <w:rFonts w:cs="Arial"/>
        </w:rPr>
        <w:t xml:space="preserve"> </w:t>
      </w:r>
      <w:r w:rsidRPr="002D4172">
        <w:rPr>
          <w:rFonts w:cs="Arial"/>
        </w:rPr>
        <w:t xml:space="preserve">based on an unconditional contract </w:t>
      </w:r>
      <w:r w:rsidR="0004640D">
        <w:rPr>
          <w:rFonts w:cs="Arial"/>
        </w:rPr>
        <w:t xml:space="preserve">and </w:t>
      </w:r>
      <w:r w:rsidRPr="002D4172">
        <w:rPr>
          <w:rFonts w:cs="Arial"/>
        </w:rPr>
        <w:t xml:space="preserve">that </w:t>
      </w:r>
      <w:r w:rsidR="002D4172">
        <w:rPr>
          <w:rFonts w:cs="Arial"/>
        </w:rPr>
        <w:t xml:space="preserve">this </w:t>
      </w:r>
      <w:r w:rsidR="00DB75F8" w:rsidRPr="002D4172">
        <w:rPr>
          <w:rFonts w:cs="Arial"/>
        </w:rPr>
        <w:t xml:space="preserve">transfer </w:t>
      </w:r>
      <w:r w:rsidR="00DE6443" w:rsidRPr="002D4172">
        <w:rPr>
          <w:rFonts w:cs="Arial"/>
        </w:rPr>
        <w:t>will</w:t>
      </w:r>
      <w:r w:rsidRPr="002D4172">
        <w:rPr>
          <w:rFonts w:cs="Arial"/>
        </w:rPr>
        <w:t xml:space="preserve"> </w:t>
      </w:r>
      <w:r w:rsidR="00DE6443" w:rsidRPr="002D4172">
        <w:rPr>
          <w:rFonts w:cs="Arial"/>
        </w:rPr>
        <w:t>take place swiftly.</w:t>
      </w:r>
      <w:r w:rsidR="000456F9">
        <w:rPr>
          <w:rFonts w:cs="Arial"/>
        </w:rPr>
        <w:t xml:space="preserve"> </w:t>
      </w:r>
      <w:r w:rsidR="00D500C8">
        <w:rPr>
          <w:rFonts w:cs="Arial"/>
        </w:rPr>
        <w:t>If this were to be the case, the Council would also be invited to make a bid and it is therefore important that it is</w:t>
      </w:r>
      <w:r w:rsidR="00CE4B82">
        <w:rPr>
          <w:rFonts w:cs="Arial"/>
        </w:rPr>
        <w:t xml:space="preserve"> in a position to move quickly to </w:t>
      </w:r>
      <w:r w:rsidR="00D500C8">
        <w:rPr>
          <w:rFonts w:cs="Arial"/>
        </w:rPr>
        <w:t xml:space="preserve">seek to </w:t>
      </w:r>
      <w:r w:rsidR="00CE4B82">
        <w:rPr>
          <w:rFonts w:cs="Arial"/>
        </w:rPr>
        <w:t>acquire the site if this takes place.</w:t>
      </w:r>
    </w:p>
    <w:p w:rsidR="0004640D" w:rsidRDefault="0004640D" w:rsidP="0004640D">
      <w:pPr>
        <w:pStyle w:val="ListParagraph"/>
        <w:ind w:left="360"/>
        <w:rPr>
          <w:rFonts w:cs="Arial"/>
        </w:rPr>
      </w:pPr>
    </w:p>
    <w:p w:rsidR="00F051F4" w:rsidRPr="0004640D" w:rsidRDefault="00DB040D" w:rsidP="0004640D">
      <w:pPr>
        <w:pStyle w:val="ListParagraph"/>
        <w:numPr>
          <w:ilvl w:val="0"/>
          <w:numId w:val="3"/>
        </w:numPr>
        <w:rPr>
          <w:rFonts w:cs="Arial"/>
        </w:rPr>
      </w:pPr>
      <w:r w:rsidRPr="0004640D">
        <w:rPr>
          <w:rFonts w:cs="Arial"/>
        </w:rPr>
        <w:lastRenderedPageBreak/>
        <w:t xml:space="preserve">The Council proposes to </w:t>
      </w:r>
      <w:r w:rsidR="00D500C8">
        <w:rPr>
          <w:rFonts w:cs="Arial"/>
        </w:rPr>
        <w:t xml:space="preserve">seek to </w:t>
      </w:r>
      <w:r w:rsidRPr="0004640D">
        <w:rPr>
          <w:rFonts w:cs="Arial"/>
        </w:rPr>
        <w:t xml:space="preserve">acquire the railway lands </w:t>
      </w:r>
      <w:r w:rsidR="00D500C8">
        <w:rPr>
          <w:rFonts w:cs="Arial"/>
        </w:rPr>
        <w:t>in order to</w:t>
      </w:r>
      <w:r w:rsidR="00A3451C">
        <w:rPr>
          <w:rFonts w:cs="Arial"/>
        </w:rPr>
        <w:t xml:space="preserve"> </w:t>
      </w:r>
      <w:r w:rsidRPr="0004640D">
        <w:rPr>
          <w:rFonts w:cs="Arial"/>
        </w:rPr>
        <w:t>combine the site with its adjoining holdings</w:t>
      </w:r>
      <w:r w:rsidR="00A3451C">
        <w:rPr>
          <w:rFonts w:cs="Arial"/>
        </w:rPr>
        <w:t xml:space="preserve"> and promote mixed-use development. </w:t>
      </w:r>
      <w:r w:rsidR="00D500C8">
        <w:rPr>
          <w:rFonts w:cs="Arial"/>
        </w:rPr>
        <w:t>The Council would then</w:t>
      </w:r>
      <w:r w:rsidRPr="0004640D">
        <w:rPr>
          <w:rFonts w:cs="Arial"/>
        </w:rPr>
        <w:t xml:space="preserve"> seek a private sector partner to undertake a comprehensive scheme of development. The partnership structure </w:t>
      </w:r>
      <w:r w:rsidR="00D500C8">
        <w:rPr>
          <w:rFonts w:cs="Arial"/>
        </w:rPr>
        <w:t xml:space="preserve">would </w:t>
      </w:r>
      <w:r w:rsidR="00931890" w:rsidRPr="0004640D">
        <w:rPr>
          <w:rFonts w:cs="Arial"/>
        </w:rPr>
        <w:t xml:space="preserve">adopt the same principles as the Barton LLP with Grosvenor. </w:t>
      </w:r>
      <w:r w:rsidR="00D500C8">
        <w:rPr>
          <w:rFonts w:cs="Arial"/>
        </w:rPr>
        <w:t>A number of leading</w:t>
      </w:r>
      <w:r w:rsidR="00644794">
        <w:rPr>
          <w:rFonts w:cs="Arial"/>
        </w:rPr>
        <w:t xml:space="preserve"> </w:t>
      </w:r>
      <w:r w:rsidR="00931890" w:rsidRPr="0004640D">
        <w:rPr>
          <w:rFonts w:cs="Arial"/>
        </w:rPr>
        <w:t xml:space="preserve">developers have </w:t>
      </w:r>
      <w:r w:rsidR="00D500C8">
        <w:rPr>
          <w:rFonts w:cs="Arial"/>
        </w:rPr>
        <w:t xml:space="preserve">already </w:t>
      </w:r>
      <w:r w:rsidR="00931890" w:rsidRPr="0004640D">
        <w:rPr>
          <w:rFonts w:cs="Arial"/>
        </w:rPr>
        <w:t>expressed strong interest in working with the Council on this basis.</w:t>
      </w:r>
    </w:p>
    <w:p w:rsidR="00AD3A6D" w:rsidRDefault="00AD3A6D" w:rsidP="00A1734A">
      <w:pPr>
        <w:pStyle w:val="ListParagraph"/>
        <w:ind w:left="360"/>
        <w:rPr>
          <w:rFonts w:cs="Arial"/>
        </w:rPr>
      </w:pPr>
    </w:p>
    <w:p w:rsidR="00A1734A" w:rsidRPr="00A1734A" w:rsidRDefault="00D500C8" w:rsidP="00A1734A">
      <w:pPr>
        <w:pStyle w:val="ListParagraph"/>
        <w:numPr>
          <w:ilvl w:val="0"/>
          <w:numId w:val="3"/>
        </w:numPr>
        <w:rPr>
          <w:rFonts w:cs="Arial"/>
        </w:rPr>
      </w:pPr>
      <w:r>
        <w:rPr>
          <w:rFonts w:cs="Arial"/>
        </w:rPr>
        <w:t xml:space="preserve">If the </w:t>
      </w:r>
      <w:r w:rsidR="00A1734A" w:rsidRPr="00A1734A">
        <w:rPr>
          <w:rFonts w:cs="Arial"/>
        </w:rPr>
        <w:t>railwa</w:t>
      </w:r>
      <w:r w:rsidR="00A1734A">
        <w:rPr>
          <w:rFonts w:cs="Arial"/>
        </w:rPr>
        <w:t xml:space="preserve">y land </w:t>
      </w:r>
      <w:r>
        <w:rPr>
          <w:rFonts w:cs="Arial"/>
        </w:rPr>
        <w:t xml:space="preserve">can be acquired </w:t>
      </w:r>
      <w:r w:rsidR="00A1734A">
        <w:rPr>
          <w:rFonts w:cs="Arial"/>
        </w:rPr>
        <w:t xml:space="preserve">the Council </w:t>
      </w:r>
      <w:r>
        <w:rPr>
          <w:rFonts w:cs="Arial"/>
        </w:rPr>
        <w:t>intends to</w:t>
      </w:r>
      <w:r w:rsidR="00A1734A">
        <w:rPr>
          <w:rFonts w:cs="Arial"/>
        </w:rPr>
        <w:t xml:space="preserve"> run a </w:t>
      </w:r>
      <w:r w:rsidR="00487CE9">
        <w:rPr>
          <w:rFonts w:cs="Arial"/>
        </w:rPr>
        <w:t>competition for a p</w:t>
      </w:r>
      <w:r w:rsidR="00A1734A" w:rsidRPr="00A1734A">
        <w:rPr>
          <w:rFonts w:cs="Arial"/>
        </w:rPr>
        <w:t>artner and the development will proceed as planned with strategic infrastructure being installed, planning permission sought and onward sale of plots for development.</w:t>
      </w:r>
      <w:r w:rsidR="00931890">
        <w:rPr>
          <w:rFonts w:cs="Arial"/>
        </w:rPr>
        <w:t xml:space="preserve"> The private sector partner would become a</w:t>
      </w:r>
      <w:r w:rsidR="00A3451C">
        <w:rPr>
          <w:rFonts w:cs="Arial"/>
        </w:rPr>
        <w:t xml:space="preserve">n equal </w:t>
      </w:r>
      <w:r w:rsidR="00931890">
        <w:rPr>
          <w:rFonts w:cs="Arial"/>
        </w:rPr>
        <w:t xml:space="preserve">partner with the Council and refund half the costs of acquiring the railway lands-with the balance of the land value together with any development uplift being returned to the Council as development takes place. </w:t>
      </w:r>
      <w:r w:rsidR="00A1734A" w:rsidRPr="00A1734A">
        <w:rPr>
          <w:rFonts w:cs="Arial"/>
        </w:rPr>
        <w:t xml:space="preserve"> The Council</w:t>
      </w:r>
      <w:r>
        <w:rPr>
          <w:rFonts w:cs="Arial"/>
        </w:rPr>
        <w:t>’</w:t>
      </w:r>
      <w:r w:rsidR="00A1734A" w:rsidRPr="00A1734A">
        <w:rPr>
          <w:rFonts w:cs="Arial"/>
        </w:rPr>
        <w:t>s own land will be</w:t>
      </w:r>
      <w:r w:rsidR="00931890">
        <w:rPr>
          <w:rFonts w:cs="Arial"/>
        </w:rPr>
        <w:t xml:space="preserve"> also</w:t>
      </w:r>
      <w:r w:rsidR="00A1734A" w:rsidRPr="00A1734A">
        <w:rPr>
          <w:rFonts w:cs="Arial"/>
        </w:rPr>
        <w:t xml:space="preserve"> transferred into the partnership for an agreed price subject to a</w:t>
      </w:r>
      <w:r w:rsidR="00DB040D">
        <w:rPr>
          <w:rFonts w:cs="Arial"/>
        </w:rPr>
        <w:t>n independent</w:t>
      </w:r>
      <w:r w:rsidR="00A1734A" w:rsidRPr="00A1734A">
        <w:rPr>
          <w:rFonts w:cs="Arial"/>
        </w:rPr>
        <w:t xml:space="preserve"> valuation.</w:t>
      </w:r>
      <w:r w:rsidR="00CE4B82">
        <w:rPr>
          <w:rFonts w:cs="Arial"/>
        </w:rPr>
        <w:t xml:space="preserve"> </w:t>
      </w:r>
      <w:r>
        <w:rPr>
          <w:rFonts w:cs="Arial"/>
        </w:rPr>
        <w:t>The intention is</w:t>
      </w:r>
      <w:r w:rsidR="00CE4B82">
        <w:rPr>
          <w:rFonts w:cs="Arial"/>
        </w:rPr>
        <w:t xml:space="preserve"> to have </w:t>
      </w:r>
      <w:r>
        <w:rPr>
          <w:rFonts w:cs="Arial"/>
        </w:rPr>
        <w:t>a</w:t>
      </w:r>
      <w:r w:rsidR="00CE4B82">
        <w:rPr>
          <w:rFonts w:cs="Arial"/>
        </w:rPr>
        <w:t xml:space="preserve"> n</w:t>
      </w:r>
      <w:r w:rsidR="0004640D">
        <w:rPr>
          <w:rFonts w:cs="Arial"/>
        </w:rPr>
        <w:t xml:space="preserve">ew partner in place within six </w:t>
      </w:r>
      <w:r w:rsidR="00CE4B82">
        <w:rPr>
          <w:rFonts w:cs="Arial"/>
        </w:rPr>
        <w:t>months</w:t>
      </w:r>
      <w:r>
        <w:rPr>
          <w:rFonts w:cs="Arial"/>
        </w:rPr>
        <w:t xml:space="preserve"> of the acquisition.</w:t>
      </w:r>
    </w:p>
    <w:p w:rsidR="00F051F4" w:rsidRDefault="00F051F4" w:rsidP="00F051F4">
      <w:pPr>
        <w:pStyle w:val="ListParagraph"/>
        <w:ind w:left="360"/>
        <w:rPr>
          <w:rFonts w:cs="Arial"/>
        </w:rPr>
      </w:pPr>
    </w:p>
    <w:p w:rsidR="00A72641" w:rsidRPr="00A1734A" w:rsidRDefault="00F051F4" w:rsidP="00A72641">
      <w:pPr>
        <w:pStyle w:val="ListParagraph"/>
        <w:numPr>
          <w:ilvl w:val="0"/>
          <w:numId w:val="3"/>
        </w:numPr>
        <w:rPr>
          <w:rFonts w:cs="Arial"/>
        </w:rPr>
      </w:pPr>
      <w:r>
        <w:rPr>
          <w:rFonts w:cs="Arial"/>
          <w:lang w:eastAsia="en-GB"/>
        </w:rPr>
        <w:t>The Council has taken independent advice from l</w:t>
      </w:r>
      <w:r w:rsidRPr="00F051F4">
        <w:rPr>
          <w:rFonts w:cs="Arial"/>
          <w:lang w:eastAsia="en-GB"/>
        </w:rPr>
        <w:t>eading property advisers JLL</w:t>
      </w:r>
      <w:r>
        <w:rPr>
          <w:rFonts w:cs="Arial"/>
          <w:lang w:eastAsia="en-GB"/>
        </w:rPr>
        <w:t xml:space="preserve"> who has also </w:t>
      </w:r>
      <w:r w:rsidRPr="00F051F4">
        <w:rPr>
          <w:rFonts w:cs="Arial"/>
          <w:lang w:eastAsia="en-GB"/>
        </w:rPr>
        <w:t>carried out soft market testing with</w:t>
      </w:r>
      <w:r w:rsidR="00A1734A">
        <w:rPr>
          <w:rFonts w:cs="Arial"/>
          <w:lang w:eastAsia="en-GB"/>
        </w:rPr>
        <w:t xml:space="preserve"> </w:t>
      </w:r>
      <w:r w:rsidRPr="00A1734A">
        <w:rPr>
          <w:rFonts w:cs="Arial"/>
          <w:lang w:eastAsia="en-GB"/>
        </w:rPr>
        <w:t>major private sector developers</w:t>
      </w:r>
      <w:r w:rsidR="00A1734A" w:rsidRPr="00A1734A">
        <w:rPr>
          <w:rFonts w:cs="Arial"/>
          <w:lang w:eastAsia="en-GB"/>
        </w:rPr>
        <w:t>. This has</w:t>
      </w:r>
      <w:r w:rsidRPr="00A1734A">
        <w:rPr>
          <w:rFonts w:cs="Arial"/>
          <w:lang w:eastAsia="en-GB"/>
        </w:rPr>
        <w:t xml:space="preserve"> demonstrated that there is significant interest in the wider </w:t>
      </w:r>
      <w:proofErr w:type="spellStart"/>
      <w:r w:rsidRPr="00A1734A">
        <w:rPr>
          <w:rFonts w:cs="Arial"/>
          <w:lang w:eastAsia="en-GB"/>
        </w:rPr>
        <w:t>Oxpens</w:t>
      </w:r>
      <w:proofErr w:type="spellEnd"/>
      <w:r w:rsidRPr="00A1734A">
        <w:rPr>
          <w:rFonts w:cs="Arial"/>
          <w:lang w:eastAsia="en-GB"/>
        </w:rPr>
        <w:t xml:space="preserve"> site from developers of excellent standing, who have proven track records in bringing forward large, complex regeneration sites</w:t>
      </w:r>
      <w:r w:rsidR="00D500C8">
        <w:rPr>
          <w:rFonts w:cs="Arial"/>
          <w:lang w:eastAsia="en-GB"/>
        </w:rPr>
        <w:t>, combining housing and commercial elements.</w:t>
      </w:r>
      <w:r w:rsidR="00644794">
        <w:rPr>
          <w:rFonts w:cs="Arial"/>
          <w:lang w:eastAsia="en-GB"/>
        </w:rPr>
        <w:t xml:space="preserve"> </w:t>
      </w:r>
      <w:r w:rsidRPr="00A1734A">
        <w:rPr>
          <w:rFonts w:cs="Arial"/>
          <w:lang w:eastAsia="en-GB"/>
        </w:rPr>
        <w:t xml:space="preserve">These developers also agree that the </w:t>
      </w:r>
      <w:proofErr w:type="spellStart"/>
      <w:r w:rsidRPr="00A1734A">
        <w:rPr>
          <w:rFonts w:cs="Arial"/>
          <w:lang w:eastAsia="en-GB"/>
        </w:rPr>
        <w:t>Oxpens</w:t>
      </w:r>
      <w:proofErr w:type="spellEnd"/>
      <w:r w:rsidRPr="00A1734A">
        <w:rPr>
          <w:rFonts w:cs="Arial"/>
          <w:lang w:eastAsia="en-GB"/>
        </w:rPr>
        <w:t xml:space="preserve"> opportunity site should be brought forward as a comprehensive scheme to maximise receipts and reduce delivery risk. A</w:t>
      </w:r>
      <w:r w:rsidR="00A3451C">
        <w:rPr>
          <w:rFonts w:cs="Arial"/>
          <w:lang w:eastAsia="en-GB"/>
        </w:rPr>
        <w:t>n equal</w:t>
      </w:r>
      <w:r w:rsidRPr="00A1734A">
        <w:rPr>
          <w:rFonts w:cs="Arial"/>
          <w:lang w:eastAsia="en-GB"/>
        </w:rPr>
        <w:t xml:space="preserve"> </w:t>
      </w:r>
      <w:r w:rsidR="00A3451C">
        <w:rPr>
          <w:rFonts w:cs="Arial"/>
          <w:lang w:eastAsia="en-GB"/>
        </w:rPr>
        <w:t xml:space="preserve">joint venture </w:t>
      </w:r>
      <w:r w:rsidRPr="00A1734A">
        <w:rPr>
          <w:rFonts w:cs="Arial"/>
          <w:lang w:eastAsia="en-GB"/>
        </w:rPr>
        <w:t xml:space="preserve">partnership with the Council is </w:t>
      </w:r>
      <w:r w:rsidR="00D500C8">
        <w:rPr>
          <w:rFonts w:cs="Arial"/>
          <w:lang w:eastAsia="en-GB"/>
        </w:rPr>
        <w:t>consider</w:t>
      </w:r>
      <w:r w:rsidR="000456F9">
        <w:rPr>
          <w:rFonts w:cs="Arial"/>
          <w:lang w:eastAsia="en-GB"/>
        </w:rPr>
        <w:t>e</w:t>
      </w:r>
      <w:r w:rsidR="00D500C8">
        <w:rPr>
          <w:rFonts w:cs="Arial"/>
          <w:lang w:eastAsia="en-GB"/>
        </w:rPr>
        <w:t xml:space="preserve">d to be </w:t>
      </w:r>
      <w:r w:rsidR="000456F9">
        <w:rPr>
          <w:rFonts w:cs="Arial"/>
          <w:lang w:eastAsia="en-GB"/>
        </w:rPr>
        <w:t xml:space="preserve">a positive proposition. </w:t>
      </w:r>
    </w:p>
    <w:p w:rsidR="0033223B" w:rsidRPr="004E66D1" w:rsidRDefault="0033223B" w:rsidP="004E66D1">
      <w:pPr>
        <w:rPr>
          <w:rFonts w:cs="Arial"/>
        </w:rPr>
      </w:pPr>
    </w:p>
    <w:p w:rsidR="0085143F" w:rsidRDefault="00F676D6" w:rsidP="00E30895">
      <w:pPr>
        <w:pStyle w:val="ListParagraph"/>
        <w:spacing w:after="200"/>
        <w:ind w:left="0"/>
        <w:rPr>
          <w:rFonts w:eastAsiaTheme="minorHAnsi" w:cs="Arial"/>
          <w:b/>
        </w:rPr>
      </w:pPr>
      <w:r w:rsidRPr="001C3FEE">
        <w:rPr>
          <w:rFonts w:eastAsiaTheme="minorHAnsi" w:cs="Arial"/>
          <w:b/>
        </w:rPr>
        <w:t>Delivery and Development Programm</w:t>
      </w:r>
      <w:r>
        <w:rPr>
          <w:rFonts w:eastAsiaTheme="minorHAnsi" w:cs="Arial"/>
          <w:b/>
        </w:rPr>
        <w:t>e</w:t>
      </w:r>
    </w:p>
    <w:p w:rsidR="00F676D6" w:rsidRPr="00F676D6" w:rsidRDefault="00F676D6" w:rsidP="00F676D6">
      <w:pPr>
        <w:pStyle w:val="ListParagraph"/>
        <w:spacing w:after="200"/>
        <w:ind w:left="0" w:firstLine="360"/>
        <w:rPr>
          <w:rFonts w:eastAsiaTheme="minorHAnsi" w:cs="Arial"/>
          <w:b/>
        </w:rPr>
      </w:pPr>
    </w:p>
    <w:p w:rsidR="0033223B" w:rsidRDefault="00A1734A" w:rsidP="00EE3880">
      <w:pPr>
        <w:pStyle w:val="ListParagraph"/>
        <w:numPr>
          <w:ilvl w:val="0"/>
          <w:numId w:val="3"/>
        </w:numPr>
        <w:rPr>
          <w:rFonts w:cs="Arial"/>
        </w:rPr>
      </w:pPr>
      <w:r>
        <w:rPr>
          <w:rFonts w:cs="Arial"/>
        </w:rPr>
        <w:t xml:space="preserve">It is anticipated that infrastructure </w:t>
      </w:r>
      <w:r w:rsidR="0033223B">
        <w:rPr>
          <w:rFonts w:cs="Arial"/>
        </w:rPr>
        <w:t xml:space="preserve">development could start on site </w:t>
      </w:r>
      <w:r>
        <w:rPr>
          <w:rFonts w:cs="Arial"/>
        </w:rPr>
        <w:t>i</w:t>
      </w:r>
      <w:r w:rsidR="0033223B">
        <w:rPr>
          <w:rFonts w:cs="Arial"/>
        </w:rPr>
        <w:t>n 2017</w:t>
      </w:r>
      <w:r>
        <w:rPr>
          <w:rFonts w:cs="Arial"/>
        </w:rPr>
        <w:t xml:space="preserve"> with the support of secured </w:t>
      </w:r>
      <w:r w:rsidR="00931890">
        <w:rPr>
          <w:rFonts w:cs="Arial"/>
        </w:rPr>
        <w:t>Local Growth Fund (</w:t>
      </w:r>
      <w:r>
        <w:rPr>
          <w:rFonts w:cs="Arial"/>
        </w:rPr>
        <w:t>LGF</w:t>
      </w:r>
      <w:r w:rsidR="00931890">
        <w:rPr>
          <w:rFonts w:cs="Arial"/>
        </w:rPr>
        <w:t>)</w:t>
      </w:r>
      <w:r>
        <w:rPr>
          <w:rFonts w:cs="Arial"/>
        </w:rPr>
        <w:t xml:space="preserve"> funds already allocated.</w:t>
      </w:r>
    </w:p>
    <w:p w:rsidR="00F676D6" w:rsidRPr="00F676D6" w:rsidRDefault="00F676D6" w:rsidP="00F676D6">
      <w:pPr>
        <w:rPr>
          <w:rFonts w:cs="Arial"/>
        </w:rPr>
      </w:pPr>
    </w:p>
    <w:p w:rsidR="00F676D6" w:rsidRDefault="00F676D6" w:rsidP="00E30895">
      <w:pPr>
        <w:pStyle w:val="ListParagraph"/>
        <w:ind w:left="0"/>
        <w:rPr>
          <w:rFonts w:cs="Arial"/>
          <w:b/>
        </w:rPr>
      </w:pPr>
      <w:r w:rsidRPr="004E66D1">
        <w:rPr>
          <w:rFonts w:cs="Arial"/>
          <w:b/>
        </w:rPr>
        <w:t>Legal and Procurement Issues</w:t>
      </w:r>
    </w:p>
    <w:p w:rsidR="00A1734A" w:rsidRPr="00A1734A" w:rsidRDefault="00A1734A" w:rsidP="00A1734A">
      <w:pPr>
        <w:rPr>
          <w:rFonts w:cs="Arial"/>
          <w:b/>
        </w:rPr>
      </w:pPr>
    </w:p>
    <w:p w:rsidR="0085143F" w:rsidRPr="009F7C31" w:rsidRDefault="0085143F" w:rsidP="00EE3880">
      <w:pPr>
        <w:pStyle w:val="ListParagraph"/>
        <w:numPr>
          <w:ilvl w:val="0"/>
          <w:numId w:val="3"/>
        </w:numPr>
        <w:rPr>
          <w:rFonts w:cs="Arial"/>
        </w:rPr>
      </w:pPr>
      <w:r w:rsidRPr="0085143F">
        <w:rPr>
          <w:color w:val="000000"/>
        </w:rPr>
        <w:t>Powers: The City Council is entering into the project for the purposes of regeneration and economic growth exercising the General Power of Competence in Section 1 of the Localism Act 2011.</w:t>
      </w:r>
    </w:p>
    <w:p w:rsidR="0085143F" w:rsidRPr="00FA2138" w:rsidRDefault="0085143F" w:rsidP="00FA2138">
      <w:pPr>
        <w:rPr>
          <w:rFonts w:cs="Arial"/>
        </w:rPr>
      </w:pPr>
    </w:p>
    <w:p w:rsidR="004E66D1" w:rsidRDefault="00E16501" w:rsidP="00A72641">
      <w:pPr>
        <w:pStyle w:val="ListParagraph"/>
        <w:numPr>
          <w:ilvl w:val="0"/>
          <w:numId w:val="3"/>
        </w:numPr>
        <w:rPr>
          <w:color w:val="000000"/>
        </w:rPr>
      </w:pPr>
      <w:r>
        <w:rPr>
          <w:color w:val="000000"/>
        </w:rPr>
        <w:t xml:space="preserve">Procurement: </w:t>
      </w:r>
      <w:proofErr w:type="spellStart"/>
      <w:r w:rsidRPr="00E16501">
        <w:rPr>
          <w:color w:val="000000"/>
        </w:rPr>
        <w:t>Pinsent</w:t>
      </w:r>
      <w:proofErr w:type="spellEnd"/>
      <w:r w:rsidRPr="00E16501">
        <w:rPr>
          <w:color w:val="000000"/>
        </w:rPr>
        <w:t xml:space="preserve"> </w:t>
      </w:r>
      <w:proofErr w:type="gramStart"/>
      <w:r w:rsidRPr="00E16501">
        <w:rPr>
          <w:color w:val="000000"/>
        </w:rPr>
        <w:t>Masons</w:t>
      </w:r>
      <w:proofErr w:type="gramEnd"/>
      <w:r>
        <w:rPr>
          <w:color w:val="000000"/>
        </w:rPr>
        <w:t xml:space="preserve"> solicitors</w:t>
      </w:r>
      <w:r w:rsidR="00A1734A">
        <w:rPr>
          <w:color w:val="000000"/>
        </w:rPr>
        <w:t xml:space="preserve"> have</w:t>
      </w:r>
      <w:r w:rsidR="00A72641">
        <w:rPr>
          <w:color w:val="000000"/>
        </w:rPr>
        <w:t xml:space="preserve"> </w:t>
      </w:r>
      <w:r w:rsidRPr="00E16501">
        <w:rPr>
          <w:color w:val="000000"/>
        </w:rPr>
        <w:t>provided procurement advice to the Council</w:t>
      </w:r>
      <w:r>
        <w:rPr>
          <w:color w:val="000000"/>
        </w:rPr>
        <w:t xml:space="preserve">. </w:t>
      </w:r>
      <w:r w:rsidR="00A1734A">
        <w:rPr>
          <w:color w:val="000000"/>
        </w:rPr>
        <w:t>Selection of a partner will require a form of competition.</w:t>
      </w:r>
    </w:p>
    <w:p w:rsidR="0004640D" w:rsidRPr="006A52D2" w:rsidRDefault="0004640D" w:rsidP="00EE3880">
      <w:pPr>
        <w:rPr>
          <w:rFonts w:cs="Arial"/>
          <w:sz w:val="22"/>
          <w:szCs w:val="22"/>
        </w:rPr>
      </w:pPr>
    </w:p>
    <w:p w:rsidR="007B6E54" w:rsidRDefault="007B6E54" w:rsidP="00E30895">
      <w:pPr>
        <w:rPr>
          <w:rFonts w:cs="Arial"/>
          <w:b/>
        </w:rPr>
      </w:pPr>
      <w:r w:rsidRPr="007B6E54">
        <w:rPr>
          <w:rFonts w:cs="Arial"/>
          <w:b/>
        </w:rPr>
        <w:t>Financial Issues</w:t>
      </w:r>
      <w:r w:rsidR="00411A07">
        <w:rPr>
          <w:rFonts w:cs="Arial"/>
          <w:b/>
        </w:rPr>
        <w:t xml:space="preserve"> &amp; Due Diligence</w:t>
      </w:r>
    </w:p>
    <w:p w:rsidR="00BC49C0" w:rsidRPr="00A8238A" w:rsidRDefault="00BC49C0" w:rsidP="00A8238A">
      <w:pPr>
        <w:rPr>
          <w:rFonts w:cs="Arial"/>
        </w:rPr>
      </w:pPr>
    </w:p>
    <w:p w:rsidR="00FF3D2C" w:rsidRDefault="00A1734A" w:rsidP="00FF3D2C">
      <w:pPr>
        <w:pStyle w:val="ListParagraph"/>
        <w:numPr>
          <w:ilvl w:val="0"/>
          <w:numId w:val="3"/>
        </w:numPr>
        <w:rPr>
          <w:rFonts w:cs="Arial"/>
          <w:color w:val="000000" w:themeColor="text1"/>
        </w:rPr>
      </w:pPr>
      <w:r w:rsidRPr="00FF3D2C">
        <w:rPr>
          <w:rFonts w:cs="Arial"/>
        </w:rPr>
        <w:t>The</w:t>
      </w:r>
      <w:r w:rsidR="00DF2405" w:rsidRPr="00FF3D2C">
        <w:rPr>
          <w:rFonts w:cs="Arial"/>
        </w:rPr>
        <w:t xml:space="preserve"> </w:t>
      </w:r>
      <w:r w:rsidR="00007EBE" w:rsidRPr="00FF3D2C">
        <w:rPr>
          <w:rFonts w:cs="Arial"/>
        </w:rPr>
        <w:t>Capital Programme Budget for</w:t>
      </w:r>
      <w:r w:rsidR="00DF2405" w:rsidRPr="00FF3D2C">
        <w:rPr>
          <w:rFonts w:cs="Arial"/>
        </w:rPr>
        <w:t xml:space="preserve"> 2015/16 </w:t>
      </w:r>
      <w:r w:rsidR="002E2CA6" w:rsidRPr="00FF3D2C">
        <w:rPr>
          <w:rFonts w:cs="Arial"/>
        </w:rPr>
        <w:t xml:space="preserve">that was </w:t>
      </w:r>
      <w:r w:rsidR="002E2CA6" w:rsidRPr="00FF3D2C">
        <w:rPr>
          <w:rFonts w:cs="Arial"/>
          <w:color w:val="000000" w:themeColor="text1"/>
        </w:rPr>
        <w:t xml:space="preserve">agreed at </w:t>
      </w:r>
      <w:r w:rsidR="00DF2405" w:rsidRPr="00FF3D2C">
        <w:rPr>
          <w:rFonts w:cs="Arial"/>
          <w:color w:val="000000" w:themeColor="text1"/>
        </w:rPr>
        <w:t xml:space="preserve">full Council on </w:t>
      </w:r>
      <w:r w:rsidR="007A60D1" w:rsidRPr="00FF3D2C">
        <w:rPr>
          <w:rFonts w:cs="Arial"/>
          <w:color w:val="000000" w:themeColor="text1"/>
        </w:rPr>
        <w:t xml:space="preserve">18 February </w:t>
      </w:r>
      <w:r w:rsidRPr="00FF3D2C">
        <w:rPr>
          <w:rFonts w:cs="Arial"/>
          <w:color w:val="000000" w:themeColor="text1"/>
        </w:rPr>
        <w:t>2015 in</w:t>
      </w:r>
      <w:r w:rsidR="00FF3D2C" w:rsidRPr="00FF3D2C">
        <w:rPr>
          <w:rFonts w:cs="Arial"/>
          <w:color w:val="000000" w:themeColor="text1"/>
        </w:rPr>
        <w:t>cluded £2.0m for inv</w:t>
      </w:r>
      <w:r w:rsidR="00FF3D2C">
        <w:rPr>
          <w:rFonts w:cs="Arial"/>
          <w:color w:val="000000" w:themeColor="text1"/>
        </w:rPr>
        <w:t xml:space="preserve">estment at </w:t>
      </w:r>
      <w:proofErr w:type="spellStart"/>
      <w:r w:rsidR="00FF3D2C">
        <w:rPr>
          <w:rFonts w:cs="Arial"/>
          <w:color w:val="000000" w:themeColor="text1"/>
        </w:rPr>
        <w:t>Oxpens</w:t>
      </w:r>
      <w:proofErr w:type="spellEnd"/>
      <w:r w:rsidR="00FF3D2C">
        <w:rPr>
          <w:rFonts w:cs="Arial"/>
          <w:color w:val="000000" w:themeColor="text1"/>
        </w:rPr>
        <w:t xml:space="preserve">. </w:t>
      </w:r>
      <w:r w:rsidR="00FF3D2C" w:rsidRPr="00FF3D2C">
        <w:rPr>
          <w:rFonts w:cs="Arial"/>
          <w:color w:val="000000" w:themeColor="text1"/>
        </w:rPr>
        <w:t xml:space="preserve">The </w:t>
      </w:r>
      <w:r w:rsidR="00FF3D2C" w:rsidRPr="00FF3D2C">
        <w:rPr>
          <w:rFonts w:cs="Arial"/>
          <w:color w:val="000000" w:themeColor="text1"/>
        </w:rPr>
        <w:lastRenderedPageBreak/>
        <w:t xml:space="preserve">revised approach will require budgetary provision to be made </w:t>
      </w:r>
      <w:r w:rsidR="00487CE9">
        <w:rPr>
          <w:rFonts w:cs="Arial"/>
          <w:color w:val="000000" w:themeColor="text1"/>
        </w:rPr>
        <w:t>for a variable</w:t>
      </w:r>
      <w:r w:rsidR="00FF3D2C" w:rsidRPr="00FF3D2C">
        <w:rPr>
          <w:rFonts w:cs="Arial"/>
          <w:color w:val="000000" w:themeColor="text1"/>
        </w:rPr>
        <w:t xml:space="preserve"> investment </w:t>
      </w:r>
      <w:r w:rsidR="00E638FA">
        <w:rPr>
          <w:rFonts w:cs="Arial"/>
          <w:color w:val="000000" w:themeColor="text1"/>
        </w:rPr>
        <w:t xml:space="preserve">with a maximum exposure </w:t>
      </w:r>
      <w:r w:rsidR="00FF3D2C" w:rsidRPr="00FF3D2C">
        <w:rPr>
          <w:rFonts w:cs="Arial"/>
          <w:color w:val="000000" w:themeColor="text1"/>
        </w:rPr>
        <w:t>of £8</w:t>
      </w:r>
      <w:r w:rsidR="0004640D">
        <w:rPr>
          <w:rFonts w:cs="Arial"/>
          <w:color w:val="000000" w:themeColor="text1"/>
        </w:rPr>
        <w:t>.4</w:t>
      </w:r>
      <w:r w:rsidR="00FF3D2C" w:rsidRPr="00FF3D2C">
        <w:rPr>
          <w:rFonts w:cs="Arial"/>
          <w:color w:val="000000" w:themeColor="text1"/>
        </w:rPr>
        <w:t>m</w:t>
      </w:r>
      <w:r w:rsidR="00FF3D2C">
        <w:rPr>
          <w:rFonts w:cs="Arial"/>
          <w:color w:val="000000" w:themeColor="text1"/>
        </w:rPr>
        <w:t>.</w:t>
      </w:r>
      <w:r w:rsidR="00FF3D2C" w:rsidRPr="00FF3D2C">
        <w:rPr>
          <w:rFonts w:cs="Arial"/>
          <w:color w:val="000000" w:themeColor="text1"/>
        </w:rPr>
        <w:t xml:space="preserve"> </w:t>
      </w:r>
    </w:p>
    <w:p w:rsidR="00FF3D2C" w:rsidRPr="00FF3D2C" w:rsidRDefault="00FF3D2C" w:rsidP="00FF3D2C">
      <w:pPr>
        <w:pStyle w:val="ListParagraph"/>
        <w:ind w:left="360"/>
        <w:rPr>
          <w:rFonts w:cs="Arial"/>
          <w:color w:val="000000" w:themeColor="text1"/>
        </w:rPr>
      </w:pPr>
    </w:p>
    <w:p w:rsidR="00776C5A" w:rsidRDefault="00302F9D" w:rsidP="00FF3D2C">
      <w:pPr>
        <w:pStyle w:val="ListParagraph"/>
        <w:numPr>
          <w:ilvl w:val="0"/>
          <w:numId w:val="3"/>
        </w:numPr>
        <w:rPr>
          <w:rFonts w:cs="Arial"/>
          <w:color w:val="000000" w:themeColor="text1"/>
        </w:rPr>
      </w:pPr>
      <w:r w:rsidRPr="00FF3D2C">
        <w:rPr>
          <w:rFonts w:cs="Arial"/>
          <w:color w:val="000000" w:themeColor="text1"/>
        </w:rPr>
        <w:t xml:space="preserve">Timeframes for receipts: Returns will be linked to sales of land plots. The revised programme currently anticipates first sales in 2018. This will be subject to a detailed business plan that will be agreed between partners and reported back to CEB. </w:t>
      </w:r>
    </w:p>
    <w:p w:rsidR="00FF3D2C" w:rsidRPr="00FF3D2C" w:rsidRDefault="00FF3D2C" w:rsidP="00FF3D2C">
      <w:pPr>
        <w:pStyle w:val="ListParagraph"/>
        <w:rPr>
          <w:rFonts w:cs="Arial"/>
          <w:color w:val="000000" w:themeColor="text1"/>
        </w:rPr>
      </w:pPr>
    </w:p>
    <w:p w:rsidR="00FF3D2C" w:rsidRDefault="00FF3D2C" w:rsidP="00FF3D2C">
      <w:pPr>
        <w:pStyle w:val="ListParagraph"/>
        <w:numPr>
          <w:ilvl w:val="0"/>
          <w:numId w:val="3"/>
        </w:numPr>
        <w:rPr>
          <w:rFonts w:cs="Arial"/>
          <w:color w:val="000000" w:themeColor="text1"/>
        </w:rPr>
      </w:pPr>
      <w:r w:rsidRPr="00FF3D2C">
        <w:rPr>
          <w:rFonts w:cs="Arial"/>
          <w:color w:val="000000" w:themeColor="text1"/>
        </w:rPr>
        <w:t xml:space="preserve">Further details are provided in </w:t>
      </w:r>
      <w:r w:rsidR="00487CE9">
        <w:rPr>
          <w:rFonts w:cs="Arial"/>
          <w:color w:val="000000" w:themeColor="text1"/>
        </w:rPr>
        <w:t>Appendix 2</w:t>
      </w:r>
      <w:r w:rsidRPr="00FF3D2C">
        <w:rPr>
          <w:rFonts w:cs="Arial"/>
          <w:color w:val="000000" w:themeColor="text1"/>
        </w:rPr>
        <w:t xml:space="preserve">.  </w:t>
      </w:r>
    </w:p>
    <w:p w:rsidR="00FF3D2C" w:rsidRPr="00FF3D2C" w:rsidRDefault="00FF3D2C" w:rsidP="00FF3D2C">
      <w:pPr>
        <w:rPr>
          <w:rFonts w:cs="Arial"/>
          <w:color w:val="000000" w:themeColor="text1"/>
        </w:rPr>
      </w:pPr>
    </w:p>
    <w:p w:rsidR="00055BA8" w:rsidRDefault="00776C5A" w:rsidP="00422C98">
      <w:pPr>
        <w:pStyle w:val="ListParagraph"/>
        <w:numPr>
          <w:ilvl w:val="0"/>
          <w:numId w:val="3"/>
        </w:numPr>
        <w:rPr>
          <w:rFonts w:cs="Arial"/>
        </w:rPr>
      </w:pPr>
      <w:r w:rsidRPr="00505B5C">
        <w:rPr>
          <w:rFonts w:cs="Arial"/>
        </w:rPr>
        <w:t xml:space="preserve"> </w:t>
      </w:r>
      <w:r w:rsidR="00F30B69">
        <w:rPr>
          <w:rFonts w:cs="Arial"/>
        </w:rPr>
        <w:t>Legal</w:t>
      </w:r>
      <w:r w:rsidR="00FE40F0">
        <w:rPr>
          <w:rFonts w:cs="Arial"/>
        </w:rPr>
        <w:t>, Property</w:t>
      </w:r>
      <w:r w:rsidR="00F30B69">
        <w:rPr>
          <w:rFonts w:cs="Arial"/>
        </w:rPr>
        <w:t xml:space="preserve"> and Technical Fees:</w:t>
      </w:r>
      <w:r w:rsidRPr="00505B5C">
        <w:rPr>
          <w:rFonts w:cs="Arial"/>
        </w:rPr>
        <w:t xml:space="preserve">  The CEB and Council Reports of 3 July 2014 and 14 July 2014 respectively </w:t>
      </w:r>
      <w:r w:rsidR="00505B5C" w:rsidRPr="00505B5C">
        <w:rPr>
          <w:rFonts w:cs="Arial"/>
        </w:rPr>
        <w:t xml:space="preserve">identified a total estimated cost </w:t>
      </w:r>
      <w:r w:rsidR="00422C98">
        <w:rPr>
          <w:rFonts w:cs="Arial"/>
        </w:rPr>
        <w:t xml:space="preserve">of £370k, </w:t>
      </w:r>
      <w:r w:rsidR="00505B5C" w:rsidRPr="00505B5C">
        <w:rPr>
          <w:rFonts w:cs="Arial"/>
        </w:rPr>
        <w:t>of which a</w:t>
      </w:r>
      <w:r w:rsidR="00505B5C">
        <w:rPr>
          <w:rFonts w:cs="Arial"/>
        </w:rPr>
        <w:t xml:space="preserve">n initial </w:t>
      </w:r>
      <w:r w:rsidR="00505B5C" w:rsidRPr="00505B5C">
        <w:rPr>
          <w:rFonts w:cs="Arial"/>
        </w:rPr>
        <w:t xml:space="preserve">budget of £320k was established to progress the </w:t>
      </w:r>
      <w:r w:rsidR="00505B5C">
        <w:rPr>
          <w:rFonts w:cs="Arial"/>
        </w:rPr>
        <w:t>first</w:t>
      </w:r>
      <w:r w:rsidR="00505B5C" w:rsidRPr="00505B5C">
        <w:rPr>
          <w:rFonts w:cs="Arial"/>
        </w:rPr>
        <w:t xml:space="preserve"> stages, wholly funded from </w:t>
      </w:r>
      <w:r w:rsidR="00D500C8">
        <w:rPr>
          <w:rFonts w:cs="Arial"/>
        </w:rPr>
        <w:t xml:space="preserve">the </w:t>
      </w:r>
      <w:r w:rsidR="00505B5C" w:rsidRPr="00505B5C">
        <w:rPr>
          <w:rFonts w:cs="Arial"/>
        </w:rPr>
        <w:t>New Growth Points</w:t>
      </w:r>
      <w:r w:rsidR="00887C39">
        <w:rPr>
          <w:rFonts w:cs="Arial"/>
        </w:rPr>
        <w:t xml:space="preserve"> grant</w:t>
      </w:r>
      <w:r w:rsidR="00505B5C" w:rsidRPr="00505B5C">
        <w:rPr>
          <w:rFonts w:cs="Arial"/>
        </w:rPr>
        <w:t xml:space="preserve">. </w:t>
      </w:r>
      <w:r w:rsidR="00A047DE">
        <w:rPr>
          <w:rFonts w:cs="Arial"/>
        </w:rPr>
        <w:t xml:space="preserve">The </w:t>
      </w:r>
      <w:r w:rsidR="00422C98">
        <w:rPr>
          <w:rFonts w:cs="Arial"/>
        </w:rPr>
        <w:t xml:space="preserve">CEB report of 28 April 2015 </w:t>
      </w:r>
      <w:r w:rsidR="009C2A62">
        <w:rPr>
          <w:rFonts w:cs="Arial"/>
        </w:rPr>
        <w:t>confirmed th</w:t>
      </w:r>
      <w:r w:rsidR="00D500C8">
        <w:rPr>
          <w:rFonts w:cs="Arial"/>
        </w:rPr>
        <w:t>at</w:t>
      </w:r>
      <w:r w:rsidR="009C2A62">
        <w:rPr>
          <w:rFonts w:cs="Arial"/>
        </w:rPr>
        <w:t xml:space="preserve"> the initial budget of £320k </w:t>
      </w:r>
      <w:r w:rsidR="00D500C8">
        <w:rPr>
          <w:rFonts w:cs="Arial"/>
        </w:rPr>
        <w:t>was adequate but</w:t>
      </w:r>
      <w:r w:rsidR="009C2A62">
        <w:rPr>
          <w:rFonts w:cs="Arial"/>
        </w:rPr>
        <w:t xml:space="preserve"> that </w:t>
      </w:r>
      <w:r w:rsidR="00422C98">
        <w:rPr>
          <w:rFonts w:cs="Arial"/>
        </w:rPr>
        <w:t xml:space="preserve">any changes in the original planned delivery route would require a review of the cost of fees. Abortive cost and rework means that the </w:t>
      </w:r>
      <w:r w:rsidR="00D500C8">
        <w:rPr>
          <w:rFonts w:cs="Arial"/>
        </w:rPr>
        <w:t>revised</w:t>
      </w:r>
      <w:r w:rsidR="00422C98">
        <w:rPr>
          <w:rFonts w:cs="Arial"/>
        </w:rPr>
        <w:t xml:space="preserve"> estimate of fee expenditure </w:t>
      </w:r>
      <w:r w:rsidR="009C2A62">
        <w:rPr>
          <w:rFonts w:cs="Arial"/>
        </w:rPr>
        <w:t xml:space="preserve">reverts to </w:t>
      </w:r>
      <w:r w:rsidR="00422C98">
        <w:rPr>
          <w:rFonts w:cs="Arial"/>
        </w:rPr>
        <w:t xml:space="preserve">the </w:t>
      </w:r>
      <w:r w:rsidR="00422C98" w:rsidRPr="00422C98">
        <w:rPr>
          <w:rFonts w:cs="Arial"/>
        </w:rPr>
        <w:t>full original</w:t>
      </w:r>
      <w:r w:rsidR="00422C98">
        <w:rPr>
          <w:rFonts w:cs="Arial"/>
        </w:rPr>
        <w:t xml:space="preserve"> est</w:t>
      </w:r>
      <w:r w:rsidR="009C2A62">
        <w:rPr>
          <w:rFonts w:cs="Arial"/>
        </w:rPr>
        <w:t>imate of £370K</w:t>
      </w:r>
      <w:r w:rsidR="00D500C8">
        <w:rPr>
          <w:rFonts w:cs="Arial"/>
        </w:rPr>
        <w:t>. A budget change will be required</w:t>
      </w:r>
      <w:r w:rsidR="009C2A62">
        <w:rPr>
          <w:rFonts w:cs="Arial"/>
        </w:rPr>
        <w:t xml:space="preserve"> accordingly. </w:t>
      </w:r>
    </w:p>
    <w:p w:rsidR="00A047DE" w:rsidRPr="00A047DE" w:rsidRDefault="00A047DE" w:rsidP="00EE3880">
      <w:pPr>
        <w:rPr>
          <w:rFonts w:cs="Arial"/>
        </w:rPr>
      </w:pPr>
    </w:p>
    <w:tbl>
      <w:tblPr>
        <w:tblStyle w:val="TableGrid"/>
        <w:tblW w:w="0" w:type="auto"/>
        <w:tblInd w:w="436" w:type="dxa"/>
        <w:tblLook w:val="04A0" w:firstRow="1" w:lastRow="0" w:firstColumn="1" w:lastColumn="0" w:noHBand="0" w:noVBand="1"/>
      </w:tblPr>
      <w:tblGrid>
        <w:gridCol w:w="1368"/>
        <w:gridCol w:w="1334"/>
        <w:gridCol w:w="2270"/>
        <w:gridCol w:w="1521"/>
        <w:gridCol w:w="1593"/>
      </w:tblGrid>
      <w:tr w:rsidR="0004640D" w:rsidTr="009A4C82">
        <w:tc>
          <w:tcPr>
            <w:tcW w:w="8086" w:type="dxa"/>
            <w:gridSpan w:val="5"/>
          </w:tcPr>
          <w:p w:rsidR="0004640D" w:rsidRDefault="0004640D" w:rsidP="00055BA8">
            <w:pPr>
              <w:rPr>
                <w:rFonts w:cs="Arial"/>
                <w:b/>
              </w:rPr>
            </w:pPr>
            <w:proofErr w:type="spellStart"/>
            <w:r>
              <w:rPr>
                <w:rFonts w:cs="Arial"/>
                <w:b/>
              </w:rPr>
              <w:t>Oxpens</w:t>
            </w:r>
            <w:proofErr w:type="spellEnd"/>
            <w:r>
              <w:rPr>
                <w:rFonts w:cs="Arial"/>
                <w:b/>
              </w:rPr>
              <w:t xml:space="preserve"> Delivery Strategy  </w:t>
            </w:r>
            <w:r w:rsidRPr="00B51F5E">
              <w:rPr>
                <w:rFonts w:cs="Arial"/>
              </w:rPr>
              <w:t>legal, property</w:t>
            </w:r>
            <w:r>
              <w:rPr>
                <w:rFonts w:cs="Arial"/>
              </w:rPr>
              <w:t xml:space="preserve">, </w:t>
            </w:r>
            <w:r w:rsidRPr="00B51F5E">
              <w:rPr>
                <w:rFonts w:cs="Arial"/>
              </w:rPr>
              <w:t>technical fees</w:t>
            </w:r>
          </w:p>
        </w:tc>
      </w:tr>
      <w:tr w:rsidR="00422C98" w:rsidTr="00422C98">
        <w:tc>
          <w:tcPr>
            <w:tcW w:w="1368" w:type="dxa"/>
          </w:tcPr>
          <w:p w:rsidR="00422C98" w:rsidRPr="00B51F5E" w:rsidRDefault="00422C98" w:rsidP="00055BA8">
            <w:pPr>
              <w:rPr>
                <w:rFonts w:cs="Arial"/>
                <w:b/>
              </w:rPr>
            </w:pPr>
            <w:r w:rsidRPr="00B51F5E">
              <w:rPr>
                <w:rFonts w:cs="Arial"/>
                <w:b/>
              </w:rPr>
              <w:t>Total Estimated</w:t>
            </w:r>
          </w:p>
        </w:tc>
        <w:tc>
          <w:tcPr>
            <w:tcW w:w="1334" w:type="dxa"/>
          </w:tcPr>
          <w:p w:rsidR="00422C98" w:rsidRPr="00B51F5E" w:rsidRDefault="00422C98" w:rsidP="00055BA8">
            <w:pPr>
              <w:rPr>
                <w:rFonts w:cs="Arial"/>
                <w:b/>
              </w:rPr>
            </w:pPr>
            <w:r>
              <w:rPr>
                <w:rFonts w:cs="Arial"/>
                <w:b/>
              </w:rPr>
              <w:t>Current Estimate</w:t>
            </w:r>
          </w:p>
        </w:tc>
        <w:tc>
          <w:tcPr>
            <w:tcW w:w="2270" w:type="dxa"/>
          </w:tcPr>
          <w:p w:rsidR="00422C98" w:rsidRPr="00B51F5E" w:rsidRDefault="00422C98" w:rsidP="00E15D20">
            <w:pPr>
              <w:rPr>
                <w:rFonts w:cs="Arial"/>
                <w:b/>
              </w:rPr>
            </w:pPr>
            <w:r w:rsidRPr="00B51F5E">
              <w:rPr>
                <w:rFonts w:cs="Arial"/>
                <w:b/>
              </w:rPr>
              <w:t>Spend/Committed  to date</w:t>
            </w:r>
          </w:p>
        </w:tc>
        <w:tc>
          <w:tcPr>
            <w:tcW w:w="1521" w:type="dxa"/>
          </w:tcPr>
          <w:p w:rsidR="00422C98" w:rsidRPr="00B51F5E" w:rsidRDefault="00422C98" w:rsidP="00E15D20">
            <w:pPr>
              <w:rPr>
                <w:rFonts w:cs="Arial"/>
                <w:b/>
              </w:rPr>
            </w:pPr>
            <w:r>
              <w:rPr>
                <w:rFonts w:cs="Arial"/>
                <w:b/>
              </w:rPr>
              <w:t>Approved</w:t>
            </w:r>
            <w:r w:rsidRPr="00B51F5E">
              <w:rPr>
                <w:rFonts w:cs="Arial"/>
                <w:b/>
              </w:rPr>
              <w:t xml:space="preserve"> Budget (NGP)</w:t>
            </w:r>
          </w:p>
        </w:tc>
        <w:tc>
          <w:tcPr>
            <w:tcW w:w="1593" w:type="dxa"/>
          </w:tcPr>
          <w:p w:rsidR="00422C98" w:rsidRDefault="00422C98" w:rsidP="00E15D20">
            <w:pPr>
              <w:rPr>
                <w:rFonts w:cs="Arial"/>
                <w:b/>
              </w:rPr>
            </w:pPr>
            <w:r>
              <w:rPr>
                <w:rFonts w:cs="Arial"/>
                <w:b/>
              </w:rPr>
              <w:t xml:space="preserve">Additional Budget </w:t>
            </w:r>
          </w:p>
          <w:p w:rsidR="00422C98" w:rsidRDefault="00422C98" w:rsidP="00E15D20">
            <w:pPr>
              <w:rPr>
                <w:rFonts w:cs="Arial"/>
                <w:b/>
              </w:rPr>
            </w:pPr>
            <w:r>
              <w:rPr>
                <w:rFonts w:cs="Arial"/>
                <w:b/>
              </w:rPr>
              <w:t>Req.</w:t>
            </w:r>
          </w:p>
        </w:tc>
      </w:tr>
      <w:tr w:rsidR="00422C98" w:rsidTr="00422C98">
        <w:tc>
          <w:tcPr>
            <w:tcW w:w="1368" w:type="dxa"/>
          </w:tcPr>
          <w:p w:rsidR="00422C98" w:rsidRDefault="00422C98" w:rsidP="00887C39">
            <w:pPr>
              <w:rPr>
                <w:rFonts w:cs="Arial"/>
              </w:rPr>
            </w:pPr>
            <w:r>
              <w:rPr>
                <w:rFonts w:cs="Arial"/>
              </w:rPr>
              <w:t>370k</w:t>
            </w:r>
          </w:p>
        </w:tc>
        <w:tc>
          <w:tcPr>
            <w:tcW w:w="1334" w:type="dxa"/>
          </w:tcPr>
          <w:p w:rsidR="00422C98" w:rsidRDefault="00422C98" w:rsidP="00B51F5E">
            <w:pPr>
              <w:rPr>
                <w:rFonts w:cs="Arial"/>
              </w:rPr>
            </w:pPr>
            <w:r>
              <w:rPr>
                <w:rFonts w:cs="Arial"/>
              </w:rPr>
              <w:t>370k</w:t>
            </w:r>
          </w:p>
        </w:tc>
        <w:tc>
          <w:tcPr>
            <w:tcW w:w="2270" w:type="dxa"/>
          </w:tcPr>
          <w:p w:rsidR="00422C98" w:rsidRDefault="00422C98" w:rsidP="00487CE9">
            <w:pPr>
              <w:rPr>
                <w:rFonts w:cs="Arial"/>
              </w:rPr>
            </w:pPr>
            <w:r w:rsidRPr="00487CE9">
              <w:rPr>
                <w:rFonts w:cs="Arial"/>
              </w:rPr>
              <w:t>114k</w:t>
            </w:r>
          </w:p>
        </w:tc>
        <w:tc>
          <w:tcPr>
            <w:tcW w:w="1521" w:type="dxa"/>
          </w:tcPr>
          <w:p w:rsidR="00422C98" w:rsidRDefault="00422C98" w:rsidP="00E15D20">
            <w:pPr>
              <w:rPr>
                <w:rFonts w:cs="Arial"/>
              </w:rPr>
            </w:pPr>
            <w:r>
              <w:rPr>
                <w:rFonts w:cs="Arial"/>
              </w:rPr>
              <w:t>320k</w:t>
            </w:r>
          </w:p>
        </w:tc>
        <w:tc>
          <w:tcPr>
            <w:tcW w:w="1593" w:type="dxa"/>
          </w:tcPr>
          <w:p w:rsidR="00422C98" w:rsidRDefault="00422C98" w:rsidP="00E15D20">
            <w:pPr>
              <w:rPr>
                <w:rFonts w:cs="Arial"/>
              </w:rPr>
            </w:pPr>
            <w:r>
              <w:rPr>
                <w:rFonts w:cs="Arial"/>
              </w:rPr>
              <w:t>50K</w:t>
            </w:r>
          </w:p>
        </w:tc>
      </w:tr>
    </w:tbl>
    <w:p w:rsidR="00055BA8" w:rsidRDefault="00055BA8" w:rsidP="00EE3880">
      <w:pPr>
        <w:rPr>
          <w:rFonts w:cs="Arial"/>
        </w:rPr>
      </w:pPr>
    </w:p>
    <w:p w:rsidR="00504DBC" w:rsidRPr="00E30895" w:rsidRDefault="00704AB0" w:rsidP="00504DBC">
      <w:pPr>
        <w:pStyle w:val="ListParagraph"/>
        <w:numPr>
          <w:ilvl w:val="0"/>
          <w:numId w:val="3"/>
        </w:numPr>
        <w:rPr>
          <w:rFonts w:cs="Arial"/>
        </w:rPr>
      </w:pPr>
      <w:r w:rsidRPr="00E30895">
        <w:rPr>
          <w:rFonts w:cs="Arial"/>
        </w:rPr>
        <w:t>Th</w:t>
      </w:r>
      <w:r w:rsidR="006579D1" w:rsidRPr="00E30895">
        <w:rPr>
          <w:rFonts w:cs="Arial"/>
        </w:rPr>
        <w:t>e funding of the additional £6.4</w:t>
      </w:r>
      <w:r w:rsidRPr="00E30895">
        <w:rPr>
          <w:rFonts w:cs="Arial"/>
        </w:rPr>
        <w:t xml:space="preserve"> million of capital expenditure will be through prudential borrowing. There is an option to provide internal funds to finance the deal which will result in a loss of investment interest at an average </w:t>
      </w:r>
      <w:r w:rsidR="007C3406" w:rsidRPr="00E30895">
        <w:rPr>
          <w:rFonts w:cs="Arial"/>
        </w:rPr>
        <w:t xml:space="preserve">rate </w:t>
      </w:r>
      <w:r w:rsidRPr="00E30895">
        <w:rPr>
          <w:rFonts w:cs="Arial"/>
        </w:rPr>
        <w:t>of</w:t>
      </w:r>
      <w:r w:rsidR="007C3406" w:rsidRPr="00E30895">
        <w:rPr>
          <w:rFonts w:cs="Arial"/>
        </w:rPr>
        <w:t xml:space="preserve"> around</w:t>
      </w:r>
      <w:r w:rsidRPr="00E30895">
        <w:rPr>
          <w:rFonts w:cs="Arial"/>
        </w:rPr>
        <w:t xml:space="preserve"> 1.5%</w:t>
      </w:r>
      <w:r w:rsidR="00504DBC" w:rsidRPr="00E30895">
        <w:rPr>
          <w:rFonts w:cs="Arial"/>
        </w:rPr>
        <w:t xml:space="preserve"> </w:t>
      </w:r>
      <w:r w:rsidR="003579D9" w:rsidRPr="00E30895">
        <w:rPr>
          <w:rFonts w:cs="Arial"/>
        </w:rPr>
        <w:t>of up to approximately £120k per annum</w:t>
      </w:r>
      <w:r w:rsidRPr="00E30895">
        <w:rPr>
          <w:rFonts w:cs="Arial"/>
        </w:rPr>
        <w:t xml:space="preserve"> which would need to be adjusted in the Council</w:t>
      </w:r>
      <w:r w:rsidR="009674CE" w:rsidRPr="00E30895">
        <w:rPr>
          <w:rFonts w:cs="Arial"/>
        </w:rPr>
        <w:t>’</w:t>
      </w:r>
      <w:r w:rsidRPr="00E30895">
        <w:rPr>
          <w:rFonts w:cs="Arial"/>
        </w:rPr>
        <w:t>s Medium Term Financial Plan.</w:t>
      </w:r>
      <w:r w:rsidR="00504DBC" w:rsidRPr="00E30895">
        <w:rPr>
          <w:rFonts w:cs="Arial"/>
        </w:rPr>
        <w:t xml:space="preserve"> </w:t>
      </w:r>
      <w:r w:rsidRPr="00E30895">
        <w:rPr>
          <w:rFonts w:cs="Arial"/>
        </w:rPr>
        <w:t>The return on the investment is shown in the Confidential Appendix 2 but</w:t>
      </w:r>
      <w:r w:rsidR="009674CE" w:rsidRPr="00E30895">
        <w:rPr>
          <w:rFonts w:cs="Arial"/>
        </w:rPr>
        <w:t xml:space="preserve"> officers are confident in recommending the transaction at</w:t>
      </w:r>
      <w:r w:rsidRPr="00E30895">
        <w:rPr>
          <w:rFonts w:cs="Arial"/>
        </w:rPr>
        <w:t xml:space="preserve"> this level</w:t>
      </w:r>
      <w:r w:rsidR="009674CE" w:rsidRPr="00E30895">
        <w:rPr>
          <w:rFonts w:cs="Arial"/>
        </w:rPr>
        <w:t>; it would be above</w:t>
      </w:r>
      <w:r w:rsidRPr="00E30895">
        <w:rPr>
          <w:rFonts w:cs="Arial"/>
        </w:rPr>
        <w:t xml:space="preserve"> the returns expected from other options for use of the resources such as indirect property funds.</w:t>
      </w:r>
    </w:p>
    <w:p w:rsidR="00504DBC" w:rsidRPr="00504DBC" w:rsidRDefault="00504DBC" w:rsidP="00504DBC">
      <w:pPr>
        <w:pStyle w:val="ListParagraph"/>
        <w:ind w:left="360"/>
        <w:rPr>
          <w:rFonts w:cs="Arial"/>
          <w:highlight w:val="yellow"/>
        </w:rPr>
      </w:pPr>
    </w:p>
    <w:p w:rsidR="00500940" w:rsidRPr="00E30895" w:rsidRDefault="00704AB0" w:rsidP="00500940">
      <w:pPr>
        <w:pStyle w:val="ListParagraph"/>
        <w:numPr>
          <w:ilvl w:val="0"/>
          <w:numId w:val="3"/>
        </w:numPr>
        <w:rPr>
          <w:rFonts w:cs="Arial"/>
        </w:rPr>
      </w:pPr>
      <w:r w:rsidRPr="00E30895">
        <w:rPr>
          <w:rFonts w:cs="Arial"/>
        </w:rPr>
        <w:t xml:space="preserve">The Council will need to </w:t>
      </w:r>
      <w:r w:rsidR="009674CE" w:rsidRPr="00E30895">
        <w:rPr>
          <w:rFonts w:cs="Arial"/>
        </w:rPr>
        <w:t>take further advice on</w:t>
      </w:r>
      <w:r w:rsidR="003579D9" w:rsidRPr="00E30895">
        <w:rPr>
          <w:rFonts w:cs="Arial"/>
        </w:rPr>
        <w:t xml:space="preserve"> </w:t>
      </w:r>
      <w:r w:rsidRPr="00E30895">
        <w:rPr>
          <w:rFonts w:cs="Arial"/>
        </w:rPr>
        <w:t xml:space="preserve">the taxation </w:t>
      </w:r>
      <w:r w:rsidR="009674CE" w:rsidRPr="00E30895">
        <w:rPr>
          <w:rFonts w:cs="Arial"/>
        </w:rPr>
        <w:t>aspects of this type of arrangement and</w:t>
      </w:r>
      <w:r w:rsidRPr="00E30895">
        <w:rPr>
          <w:rFonts w:cs="Arial"/>
        </w:rPr>
        <w:t xml:space="preserve"> will seek to ensure that the arrangements do not put pressure on the Council’s VAT partial exemption position.  No issues around this are envisaged at this time but more detailed analysis will be required as the scheme develops.</w:t>
      </w:r>
    </w:p>
    <w:p w:rsidR="00500940" w:rsidRPr="00D2789F" w:rsidRDefault="00500940" w:rsidP="00500940">
      <w:pPr>
        <w:pStyle w:val="ListParagraph"/>
        <w:rPr>
          <w:sz w:val="23"/>
          <w:szCs w:val="23"/>
        </w:rPr>
      </w:pPr>
    </w:p>
    <w:p w:rsidR="00500940" w:rsidRPr="00A81980" w:rsidRDefault="007C3406" w:rsidP="00500940">
      <w:pPr>
        <w:pStyle w:val="ListParagraph"/>
        <w:numPr>
          <w:ilvl w:val="0"/>
          <w:numId w:val="3"/>
        </w:numPr>
        <w:rPr>
          <w:rFonts w:cs="Arial"/>
        </w:rPr>
      </w:pPr>
      <w:r w:rsidRPr="00A81980">
        <w:t>An authority is required to make a “prudent provision” in respect of its Minimum Revenue Provision (MRP) charge, and to arrange for its debt liability to be repaid over a similar period to that which the asset associated with the capital expenditure provides benefits such that the majority of new capital expenditure “financed by borrowing” is subject to a charge which reflects its estimated useful life. The guidance enables local circumstances and d</w:t>
      </w:r>
      <w:r w:rsidR="00500940" w:rsidRPr="00A81980">
        <w:t>iscretion to taken into account.</w:t>
      </w:r>
    </w:p>
    <w:p w:rsidR="00500940" w:rsidRPr="00500940" w:rsidRDefault="00500940" w:rsidP="00500940">
      <w:pPr>
        <w:pStyle w:val="ListParagraph"/>
        <w:rPr>
          <w:sz w:val="23"/>
          <w:szCs w:val="23"/>
        </w:rPr>
      </w:pPr>
    </w:p>
    <w:p w:rsidR="007C3406" w:rsidRPr="00D2789F" w:rsidRDefault="007C3406" w:rsidP="00500940">
      <w:pPr>
        <w:pStyle w:val="ListParagraph"/>
        <w:numPr>
          <w:ilvl w:val="0"/>
          <w:numId w:val="3"/>
        </w:numPr>
        <w:rPr>
          <w:rFonts w:cs="Arial"/>
        </w:rPr>
      </w:pPr>
      <w:r w:rsidRPr="00500940">
        <w:rPr>
          <w:sz w:val="23"/>
          <w:szCs w:val="23"/>
        </w:rPr>
        <w:lastRenderedPageBreak/>
        <w:t xml:space="preserve"> </w:t>
      </w:r>
      <w:r w:rsidRPr="00D2789F">
        <w:rPr>
          <w:sz w:val="23"/>
          <w:szCs w:val="23"/>
        </w:rPr>
        <w:t xml:space="preserve">In the case of the investment proposed the Head of Financial Services considers that there is no requirement to make an MRP over the term of the investment because the Council would not itself be developing the site, rather this would be undertaken by a private developer. At this point a capital receipt would be used to repay the debt liability at the end of the investment period. This approach needs to be agreed with the Council’s auditors. </w:t>
      </w:r>
    </w:p>
    <w:p w:rsidR="007C3406" w:rsidRDefault="007C3406" w:rsidP="007C3406">
      <w:pPr>
        <w:pStyle w:val="Default"/>
        <w:rPr>
          <w:sz w:val="23"/>
          <w:szCs w:val="23"/>
        </w:rPr>
      </w:pPr>
    </w:p>
    <w:p w:rsidR="007C3406" w:rsidRDefault="007C3406" w:rsidP="00500940">
      <w:pPr>
        <w:pStyle w:val="Default"/>
        <w:numPr>
          <w:ilvl w:val="0"/>
          <w:numId w:val="3"/>
        </w:numPr>
        <w:rPr>
          <w:sz w:val="23"/>
          <w:szCs w:val="23"/>
        </w:rPr>
      </w:pPr>
      <w:r>
        <w:rPr>
          <w:sz w:val="23"/>
          <w:szCs w:val="23"/>
        </w:rPr>
        <w:t xml:space="preserve">Should the value of the capital investment reduce and not be sufficient to repay the entirety of the “borrowing”; an MRP charge would need to be made to make up the shortfall. </w:t>
      </w:r>
    </w:p>
    <w:p w:rsidR="0004640D" w:rsidRPr="00432A3D" w:rsidRDefault="0004640D" w:rsidP="00EE3880">
      <w:pPr>
        <w:rPr>
          <w:rFonts w:cs="Arial"/>
          <w:b/>
        </w:rPr>
      </w:pPr>
    </w:p>
    <w:p w:rsidR="007B6E54" w:rsidRPr="00EF366A" w:rsidRDefault="007B6E54" w:rsidP="00097CA8">
      <w:pPr>
        <w:ind w:firstLine="360"/>
        <w:rPr>
          <w:rFonts w:cs="Arial"/>
          <w:b/>
        </w:rPr>
      </w:pPr>
      <w:r w:rsidRPr="00EF366A">
        <w:rPr>
          <w:rFonts w:cs="Arial"/>
          <w:b/>
        </w:rPr>
        <w:t>Environmental Impact</w:t>
      </w:r>
    </w:p>
    <w:p w:rsidR="007B6E54" w:rsidRDefault="00D2789F" w:rsidP="00097CA8">
      <w:pPr>
        <w:pStyle w:val="ListParagraph"/>
        <w:numPr>
          <w:ilvl w:val="0"/>
          <w:numId w:val="3"/>
        </w:numPr>
        <w:rPr>
          <w:rFonts w:cs="Arial"/>
        </w:rPr>
      </w:pPr>
      <w:r>
        <w:rPr>
          <w:rFonts w:cs="Arial"/>
        </w:rPr>
        <w:t>S</w:t>
      </w:r>
      <w:r w:rsidR="0017117A" w:rsidRPr="0017117A">
        <w:rPr>
          <w:rFonts w:cs="Arial"/>
        </w:rPr>
        <w:t>ite area is on the Counci</w:t>
      </w:r>
      <w:r w:rsidR="0017117A">
        <w:rPr>
          <w:rFonts w:cs="Arial"/>
        </w:rPr>
        <w:t xml:space="preserve">l’s Prioritised list under Part 2A of the Environmental </w:t>
      </w:r>
      <w:r w:rsidR="00931890">
        <w:rPr>
          <w:rFonts w:cs="Arial"/>
        </w:rPr>
        <w:t>P</w:t>
      </w:r>
      <w:r w:rsidR="0017117A">
        <w:rPr>
          <w:rFonts w:cs="Arial"/>
        </w:rPr>
        <w:t>rotection Act 1990 and an intrusive investigation will be required as a condition of planning for any proposed change of use. Remediation will be required to make the land suitable for residential uses.</w:t>
      </w:r>
    </w:p>
    <w:p w:rsidR="00BD48CF" w:rsidRDefault="00BD48CF" w:rsidP="00097CA8">
      <w:pPr>
        <w:pStyle w:val="ListParagraph"/>
        <w:ind w:left="360"/>
        <w:rPr>
          <w:rFonts w:cs="Arial"/>
        </w:rPr>
      </w:pPr>
    </w:p>
    <w:p w:rsidR="00097CA8" w:rsidRDefault="0017117A" w:rsidP="00097CA8">
      <w:pPr>
        <w:pStyle w:val="ListParagraph"/>
        <w:numPr>
          <w:ilvl w:val="0"/>
          <w:numId w:val="3"/>
        </w:numPr>
        <w:rPr>
          <w:rFonts w:cs="Arial"/>
        </w:rPr>
      </w:pPr>
      <w:r>
        <w:rPr>
          <w:rFonts w:cs="Arial"/>
        </w:rPr>
        <w:t>The project provides the opportunity to remediate or remove the historic landfill on the site</w:t>
      </w:r>
      <w:r w:rsidR="009674CE">
        <w:rPr>
          <w:rFonts w:cs="Arial"/>
        </w:rPr>
        <w:t xml:space="preserve"> and to improve the flood capacity of the </w:t>
      </w:r>
      <w:proofErr w:type="spellStart"/>
      <w:r w:rsidR="009674CE">
        <w:rPr>
          <w:rFonts w:cs="Arial"/>
        </w:rPr>
        <w:t>Oxpens</w:t>
      </w:r>
      <w:proofErr w:type="spellEnd"/>
      <w:r w:rsidR="009674CE">
        <w:rPr>
          <w:rFonts w:cs="Arial"/>
        </w:rPr>
        <w:t xml:space="preserve"> area</w:t>
      </w:r>
    </w:p>
    <w:p w:rsidR="00097CA8" w:rsidRPr="00097CA8" w:rsidRDefault="00097CA8" w:rsidP="00097CA8">
      <w:pPr>
        <w:pStyle w:val="ListParagraph"/>
        <w:rPr>
          <w:rFonts w:cs="Arial"/>
          <w:b/>
        </w:rPr>
      </w:pPr>
    </w:p>
    <w:p w:rsidR="00097CA8" w:rsidRPr="00097CA8" w:rsidRDefault="007B6E54" w:rsidP="00097CA8">
      <w:pPr>
        <w:pStyle w:val="ListParagraph"/>
        <w:ind w:left="360"/>
        <w:rPr>
          <w:rFonts w:cs="Arial"/>
        </w:rPr>
      </w:pPr>
      <w:r w:rsidRPr="00097CA8">
        <w:rPr>
          <w:rFonts w:cs="Arial"/>
          <w:b/>
        </w:rPr>
        <w:t>Equalities Impact</w:t>
      </w:r>
    </w:p>
    <w:p w:rsidR="00097CA8" w:rsidRPr="00097CA8" w:rsidRDefault="00097CA8" w:rsidP="00097CA8">
      <w:pPr>
        <w:pStyle w:val="ListParagraph"/>
        <w:rPr>
          <w:snapToGrid w:val="0"/>
          <w:color w:val="000000"/>
        </w:rPr>
      </w:pPr>
    </w:p>
    <w:p w:rsidR="0017117A" w:rsidRPr="00097CA8" w:rsidRDefault="0017117A" w:rsidP="00097CA8">
      <w:pPr>
        <w:pStyle w:val="ListParagraph"/>
        <w:numPr>
          <w:ilvl w:val="0"/>
          <w:numId w:val="3"/>
        </w:numPr>
        <w:rPr>
          <w:rFonts w:cs="Arial"/>
        </w:rPr>
      </w:pPr>
      <w:r w:rsidRPr="00097CA8">
        <w:rPr>
          <w:snapToGrid w:val="0"/>
          <w:color w:val="000000"/>
        </w:rPr>
        <w:t xml:space="preserve">The Initial Assessment is that the contents of this report do not lead to any unjustifiable differential </w:t>
      </w:r>
      <w:r w:rsidRPr="00097CA8">
        <w:rPr>
          <w:snapToGrid w:val="0"/>
        </w:rPr>
        <w:t>impact on relevant groups.</w:t>
      </w:r>
      <w:r w:rsidR="006862AF" w:rsidRPr="00097CA8">
        <w:rPr>
          <w:snapToGrid w:val="0"/>
        </w:rPr>
        <w:t xml:space="preserve"> </w:t>
      </w:r>
      <w:r w:rsidRPr="00097CA8">
        <w:rPr>
          <w:rFonts w:cs="Arial"/>
        </w:rPr>
        <w:t>The project will provide an important means to deliver new private and affordable housing and commercial spaces in support of economic development and the creation of new jobs.</w:t>
      </w:r>
    </w:p>
    <w:p w:rsidR="0017117A" w:rsidRPr="0017117A" w:rsidRDefault="0017117A" w:rsidP="0017117A">
      <w:pPr>
        <w:pStyle w:val="ListParagraph"/>
        <w:rPr>
          <w:snapToGrid w:val="0"/>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432A3D">
            <w:pPr>
              <w:tabs>
                <w:tab w:val="left" w:pos="720"/>
                <w:tab w:val="left" w:pos="1440"/>
                <w:tab w:val="left" w:pos="2160"/>
                <w:tab w:val="left" w:pos="2880"/>
              </w:tabs>
            </w:pPr>
            <w:r>
              <w:t>Name</w:t>
            </w:r>
            <w:r w:rsidR="006862AF">
              <w:t xml:space="preserve"> </w:t>
            </w:r>
            <w:r w:rsidR="006862AF" w:rsidRPr="00BD48CF">
              <w:rPr>
                <w:b/>
              </w:rPr>
              <w:t>F</w:t>
            </w:r>
            <w:r w:rsidR="00EF366A">
              <w:rPr>
                <w:b/>
              </w:rPr>
              <w:t>iona</w:t>
            </w:r>
            <w:r w:rsidR="00432A3D">
              <w:rPr>
                <w:b/>
              </w:rPr>
              <w:t xml:space="preserve"> </w:t>
            </w:r>
            <w:r w:rsidR="006862AF" w:rsidRPr="00BD48CF">
              <w:rPr>
                <w:b/>
              </w:rPr>
              <w:t>Piercy</w:t>
            </w:r>
          </w:p>
        </w:tc>
      </w:tr>
      <w:tr w:rsidR="00713675">
        <w:tc>
          <w:tcPr>
            <w:tcW w:w="8522" w:type="dxa"/>
          </w:tcPr>
          <w:p w:rsidR="00713675" w:rsidRDefault="00713675" w:rsidP="00AD3A6D">
            <w:pPr>
              <w:tabs>
                <w:tab w:val="left" w:pos="720"/>
                <w:tab w:val="left" w:pos="1440"/>
                <w:tab w:val="left" w:pos="2160"/>
                <w:tab w:val="left" w:pos="2880"/>
              </w:tabs>
            </w:pPr>
            <w:r>
              <w:t>Service Area</w:t>
            </w:r>
            <w:r w:rsidR="006862AF">
              <w:t xml:space="preserve">: </w:t>
            </w:r>
            <w:r w:rsidR="006862AF" w:rsidRPr="00BD48CF">
              <w:rPr>
                <w:b/>
              </w:rPr>
              <w:t>Regeneration &amp; Housing</w:t>
            </w:r>
          </w:p>
        </w:tc>
      </w:tr>
      <w:tr w:rsidR="00713675">
        <w:tc>
          <w:tcPr>
            <w:tcW w:w="8522" w:type="dxa"/>
          </w:tcPr>
          <w:p w:rsidR="00713675" w:rsidRDefault="00713675" w:rsidP="006862AF">
            <w:pPr>
              <w:tabs>
                <w:tab w:val="left" w:pos="720"/>
                <w:tab w:val="left" w:pos="1440"/>
                <w:tab w:val="left" w:pos="2160"/>
                <w:tab w:val="left" w:pos="2880"/>
              </w:tabs>
              <w:rPr>
                <w:color w:val="0000FF"/>
                <w:u w:val="single"/>
              </w:rPr>
            </w:pPr>
            <w:r>
              <w:t xml:space="preserve">Tel:  </w:t>
            </w:r>
            <w:r w:rsidRPr="00BD48CF">
              <w:rPr>
                <w:b/>
              </w:rPr>
              <w:t xml:space="preserve">01865 </w:t>
            </w:r>
            <w:r w:rsidR="006862AF" w:rsidRPr="00BD48CF">
              <w:rPr>
                <w:b/>
              </w:rPr>
              <w:t>252185</w:t>
            </w:r>
            <w:r>
              <w:t xml:space="preserve">  e-mail:  </w:t>
            </w:r>
            <w:hyperlink r:id="rId11" w:history="1">
              <w:r w:rsidR="00931890" w:rsidRPr="00125987">
                <w:rPr>
                  <w:rStyle w:val="Hyperlink"/>
                  <w:b/>
                </w:rPr>
                <w:t>fpiercy@oxford.gov.uk</w:t>
              </w:r>
            </w:hyperlink>
          </w:p>
        </w:tc>
      </w:tr>
    </w:tbl>
    <w:p w:rsidR="00F4367A" w:rsidRDefault="00F4367A">
      <w:pPr>
        <w:rPr>
          <w:rFonts w:cs="Arial"/>
          <w:b/>
          <w:bCs/>
          <w:sz w:val="20"/>
        </w:rPr>
      </w:pPr>
    </w:p>
    <w:p w:rsidR="00623C2F" w:rsidRPr="00623C2F" w:rsidRDefault="00623C2F">
      <w:pPr>
        <w:rPr>
          <w:rFonts w:cs="Arial"/>
          <w:bCs/>
          <w:i/>
        </w:rPr>
      </w:pPr>
    </w:p>
    <w:p w:rsidR="007B6E54" w:rsidRDefault="00EF366A">
      <w:pPr>
        <w:rPr>
          <w:b/>
          <w:bCs/>
        </w:rPr>
      </w:pPr>
      <w:r>
        <w:rPr>
          <w:b/>
          <w:bCs/>
        </w:rPr>
        <w:t xml:space="preserve">Background Papers: </w:t>
      </w:r>
      <w:r w:rsidRPr="00EF366A">
        <w:rPr>
          <w:bCs/>
        </w:rPr>
        <w:t>None</w:t>
      </w:r>
    </w:p>
    <w:sectPr w:rsidR="007B6E5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35" w:rsidRDefault="00E63F35">
      <w:r>
        <w:separator/>
      </w:r>
    </w:p>
  </w:endnote>
  <w:endnote w:type="continuationSeparator" w:id="0">
    <w:p w:rsidR="00E63F35" w:rsidRDefault="00E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35" w:rsidRDefault="00E63F35">
      <w:r>
        <w:separator/>
      </w:r>
    </w:p>
  </w:footnote>
  <w:footnote w:type="continuationSeparator" w:id="0">
    <w:p w:rsidR="00E63F35" w:rsidRDefault="00E6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A91"/>
    <w:multiLevelType w:val="hybridMultilevel"/>
    <w:tmpl w:val="C152F92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5921D9"/>
    <w:multiLevelType w:val="hybridMultilevel"/>
    <w:tmpl w:val="02C483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FA1D0D"/>
    <w:multiLevelType w:val="hybridMultilevel"/>
    <w:tmpl w:val="6C22C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62B72"/>
    <w:multiLevelType w:val="hybridMultilevel"/>
    <w:tmpl w:val="C53E6A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465D4"/>
    <w:multiLevelType w:val="hybridMultilevel"/>
    <w:tmpl w:val="AB4886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837132"/>
    <w:multiLevelType w:val="hybridMultilevel"/>
    <w:tmpl w:val="A4A61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D5A30E9"/>
    <w:multiLevelType w:val="hybridMultilevel"/>
    <w:tmpl w:val="AE50B7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D82B8B"/>
    <w:multiLevelType w:val="hybridMultilevel"/>
    <w:tmpl w:val="279286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113326"/>
    <w:multiLevelType w:val="hybridMultilevel"/>
    <w:tmpl w:val="D3C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96538"/>
    <w:multiLevelType w:val="hybridMultilevel"/>
    <w:tmpl w:val="75E07F5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B29C2"/>
    <w:multiLevelType w:val="hybridMultilevel"/>
    <w:tmpl w:val="C610E3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581211C"/>
    <w:multiLevelType w:val="multilevel"/>
    <w:tmpl w:val="DA405B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6C42202"/>
    <w:multiLevelType w:val="hybridMultilevel"/>
    <w:tmpl w:val="E31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0D38B6"/>
    <w:multiLevelType w:val="hybridMultilevel"/>
    <w:tmpl w:val="D39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D5DB7"/>
    <w:multiLevelType w:val="hybridMultilevel"/>
    <w:tmpl w:val="BDCCD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2"/>
  </w:num>
  <w:num w:numId="5">
    <w:abstractNumId w:val="9"/>
  </w:num>
  <w:num w:numId="6">
    <w:abstractNumId w:val="7"/>
  </w:num>
  <w:num w:numId="7">
    <w:abstractNumId w:val="3"/>
  </w:num>
  <w:num w:numId="8">
    <w:abstractNumId w:val="1"/>
  </w:num>
  <w:num w:numId="9">
    <w:abstractNumId w:val="6"/>
  </w:num>
  <w:num w:numId="10">
    <w:abstractNumId w:val="10"/>
  </w:num>
  <w:num w:numId="11">
    <w:abstractNumId w:val="13"/>
  </w:num>
  <w:num w:numId="12">
    <w:abstractNumId w:val="8"/>
  </w:num>
  <w:num w:numId="13">
    <w:abstractNumId w:val="14"/>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BE"/>
    <w:rsid w:val="00025808"/>
    <w:rsid w:val="00035EB8"/>
    <w:rsid w:val="000456F9"/>
    <w:rsid w:val="0004640D"/>
    <w:rsid w:val="00055BA8"/>
    <w:rsid w:val="00056263"/>
    <w:rsid w:val="000826EB"/>
    <w:rsid w:val="00097CA8"/>
    <w:rsid w:val="000A11CD"/>
    <w:rsid w:val="000B3FA0"/>
    <w:rsid w:val="000C312C"/>
    <w:rsid w:val="000C3928"/>
    <w:rsid w:val="001148A0"/>
    <w:rsid w:val="00130443"/>
    <w:rsid w:val="00137412"/>
    <w:rsid w:val="0017117A"/>
    <w:rsid w:val="0018253F"/>
    <w:rsid w:val="001B5673"/>
    <w:rsid w:val="001C1306"/>
    <w:rsid w:val="001C3FEE"/>
    <w:rsid w:val="001D24BA"/>
    <w:rsid w:val="001D300B"/>
    <w:rsid w:val="001D49A5"/>
    <w:rsid w:val="0022299F"/>
    <w:rsid w:val="00237DB7"/>
    <w:rsid w:val="00251F05"/>
    <w:rsid w:val="00261A9B"/>
    <w:rsid w:val="002666AB"/>
    <w:rsid w:val="00280740"/>
    <w:rsid w:val="002A06C9"/>
    <w:rsid w:val="002D4172"/>
    <w:rsid w:val="002E0609"/>
    <w:rsid w:val="002E2CA6"/>
    <w:rsid w:val="00302F9D"/>
    <w:rsid w:val="0033223B"/>
    <w:rsid w:val="003579D9"/>
    <w:rsid w:val="0036530E"/>
    <w:rsid w:val="003978DC"/>
    <w:rsid w:val="00397FF9"/>
    <w:rsid w:val="003B037D"/>
    <w:rsid w:val="003B6212"/>
    <w:rsid w:val="003C00CD"/>
    <w:rsid w:val="003C25A2"/>
    <w:rsid w:val="003E3543"/>
    <w:rsid w:val="004026FD"/>
    <w:rsid w:val="00411A07"/>
    <w:rsid w:val="00422C98"/>
    <w:rsid w:val="00432A3D"/>
    <w:rsid w:val="00440192"/>
    <w:rsid w:val="00454FE9"/>
    <w:rsid w:val="00465EAF"/>
    <w:rsid w:val="00467B25"/>
    <w:rsid w:val="0048016E"/>
    <w:rsid w:val="00482D49"/>
    <w:rsid w:val="00487CE9"/>
    <w:rsid w:val="004B0617"/>
    <w:rsid w:val="004B0B33"/>
    <w:rsid w:val="004C7B71"/>
    <w:rsid w:val="004D08CA"/>
    <w:rsid w:val="004D5FD7"/>
    <w:rsid w:val="004E66D1"/>
    <w:rsid w:val="00500940"/>
    <w:rsid w:val="0050389B"/>
    <w:rsid w:val="00504DBC"/>
    <w:rsid w:val="00505B5C"/>
    <w:rsid w:val="005063CB"/>
    <w:rsid w:val="0052634D"/>
    <w:rsid w:val="00531B8A"/>
    <w:rsid w:val="00552C45"/>
    <w:rsid w:val="00555369"/>
    <w:rsid w:val="005A2BDB"/>
    <w:rsid w:val="005A6796"/>
    <w:rsid w:val="005B570D"/>
    <w:rsid w:val="005C5682"/>
    <w:rsid w:val="005E77D9"/>
    <w:rsid w:val="005F36F5"/>
    <w:rsid w:val="005F4EC6"/>
    <w:rsid w:val="0061576D"/>
    <w:rsid w:val="006204F7"/>
    <w:rsid w:val="00623C2F"/>
    <w:rsid w:val="00630097"/>
    <w:rsid w:val="006371F9"/>
    <w:rsid w:val="00641690"/>
    <w:rsid w:val="00644794"/>
    <w:rsid w:val="006579D1"/>
    <w:rsid w:val="00661954"/>
    <w:rsid w:val="00670EAC"/>
    <w:rsid w:val="006862AF"/>
    <w:rsid w:val="006A52D2"/>
    <w:rsid w:val="006B5950"/>
    <w:rsid w:val="006E3B55"/>
    <w:rsid w:val="006F1F44"/>
    <w:rsid w:val="006F416B"/>
    <w:rsid w:val="00704AB0"/>
    <w:rsid w:val="00706A89"/>
    <w:rsid w:val="00713675"/>
    <w:rsid w:val="00764D4A"/>
    <w:rsid w:val="007732E3"/>
    <w:rsid w:val="00776C5A"/>
    <w:rsid w:val="00794C01"/>
    <w:rsid w:val="007A60D1"/>
    <w:rsid w:val="007B6E54"/>
    <w:rsid w:val="007C3406"/>
    <w:rsid w:val="007D01C3"/>
    <w:rsid w:val="007D1210"/>
    <w:rsid w:val="007E6EF4"/>
    <w:rsid w:val="00812EE7"/>
    <w:rsid w:val="00817754"/>
    <w:rsid w:val="00824FC1"/>
    <w:rsid w:val="00837F46"/>
    <w:rsid w:val="00844E1F"/>
    <w:rsid w:val="0085143F"/>
    <w:rsid w:val="00855C66"/>
    <w:rsid w:val="00862A04"/>
    <w:rsid w:val="008650BC"/>
    <w:rsid w:val="008653A4"/>
    <w:rsid w:val="00870516"/>
    <w:rsid w:val="00883134"/>
    <w:rsid w:val="00885311"/>
    <w:rsid w:val="00887C39"/>
    <w:rsid w:val="008B12EA"/>
    <w:rsid w:val="008B6870"/>
    <w:rsid w:val="008D3DDB"/>
    <w:rsid w:val="008F5AAD"/>
    <w:rsid w:val="00920752"/>
    <w:rsid w:val="0092120B"/>
    <w:rsid w:val="00931890"/>
    <w:rsid w:val="009326A9"/>
    <w:rsid w:val="009464A5"/>
    <w:rsid w:val="00951E66"/>
    <w:rsid w:val="009674CE"/>
    <w:rsid w:val="00967E51"/>
    <w:rsid w:val="00971689"/>
    <w:rsid w:val="00973E90"/>
    <w:rsid w:val="00975107"/>
    <w:rsid w:val="009837D7"/>
    <w:rsid w:val="00997149"/>
    <w:rsid w:val="009A63B0"/>
    <w:rsid w:val="009C2A62"/>
    <w:rsid w:val="009F7C31"/>
    <w:rsid w:val="00A047DE"/>
    <w:rsid w:val="00A1734A"/>
    <w:rsid w:val="00A3451C"/>
    <w:rsid w:val="00A3467E"/>
    <w:rsid w:val="00A6690C"/>
    <w:rsid w:val="00A72641"/>
    <w:rsid w:val="00A81980"/>
    <w:rsid w:val="00A8238A"/>
    <w:rsid w:val="00A863FF"/>
    <w:rsid w:val="00A92D8F"/>
    <w:rsid w:val="00AA1545"/>
    <w:rsid w:val="00AB1166"/>
    <w:rsid w:val="00AC532B"/>
    <w:rsid w:val="00AD3292"/>
    <w:rsid w:val="00AD3A6D"/>
    <w:rsid w:val="00AE5AB8"/>
    <w:rsid w:val="00B047DB"/>
    <w:rsid w:val="00B142A7"/>
    <w:rsid w:val="00B51F5E"/>
    <w:rsid w:val="00B544BA"/>
    <w:rsid w:val="00B65FE9"/>
    <w:rsid w:val="00B80205"/>
    <w:rsid w:val="00BB7779"/>
    <w:rsid w:val="00BC49C0"/>
    <w:rsid w:val="00BC68AE"/>
    <w:rsid w:val="00BD48CF"/>
    <w:rsid w:val="00BF1222"/>
    <w:rsid w:val="00C15A72"/>
    <w:rsid w:val="00C2692F"/>
    <w:rsid w:val="00C30519"/>
    <w:rsid w:val="00C3319F"/>
    <w:rsid w:val="00C93F4D"/>
    <w:rsid w:val="00C9578A"/>
    <w:rsid w:val="00CA064C"/>
    <w:rsid w:val="00CA1A09"/>
    <w:rsid w:val="00CB5C38"/>
    <w:rsid w:val="00CC3662"/>
    <w:rsid w:val="00CE4B82"/>
    <w:rsid w:val="00D02A48"/>
    <w:rsid w:val="00D07EF6"/>
    <w:rsid w:val="00D11F7C"/>
    <w:rsid w:val="00D2789F"/>
    <w:rsid w:val="00D27906"/>
    <w:rsid w:val="00D31BAB"/>
    <w:rsid w:val="00D46D8A"/>
    <w:rsid w:val="00D500C8"/>
    <w:rsid w:val="00D569A2"/>
    <w:rsid w:val="00D77085"/>
    <w:rsid w:val="00D80014"/>
    <w:rsid w:val="00DB040D"/>
    <w:rsid w:val="00DB75F8"/>
    <w:rsid w:val="00DD78EF"/>
    <w:rsid w:val="00DE5CDF"/>
    <w:rsid w:val="00DE6443"/>
    <w:rsid w:val="00DF2405"/>
    <w:rsid w:val="00E00503"/>
    <w:rsid w:val="00E01F42"/>
    <w:rsid w:val="00E16501"/>
    <w:rsid w:val="00E20AD6"/>
    <w:rsid w:val="00E27129"/>
    <w:rsid w:val="00E30895"/>
    <w:rsid w:val="00E638FA"/>
    <w:rsid w:val="00E63F35"/>
    <w:rsid w:val="00E92647"/>
    <w:rsid w:val="00E93A15"/>
    <w:rsid w:val="00EA0DB1"/>
    <w:rsid w:val="00EA2FDD"/>
    <w:rsid w:val="00EB643E"/>
    <w:rsid w:val="00EE3880"/>
    <w:rsid w:val="00EF366A"/>
    <w:rsid w:val="00F051F4"/>
    <w:rsid w:val="00F14D61"/>
    <w:rsid w:val="00F21CE2"/>
    <w:rsid w:val="00F27DA1"/>
    <w:rsid w:val="00F30B69"/>
    <w:rsid w:val="00F4367A"/>
    <w:rsid w:val="00F47A6E"/>
    <w:rsid w:val="00F632AF"/>
    <w:rsid w:val="00F676D6"/>
    <w:rsid w:val="00F7606D"/>
    <w:rsid w:val="00FA2138"/>
    <w:rsid w:val="00FA2BE6"/>
    <w:rsid w:val="00FA39FB"/>
    <w:rsid w:val="00FA624C"/>
    <w:rsid w:val="00FC09CF"/>
    <w:rsid w:val="00FC2C67"/>
    <w:rsid w:val="00FD34CA"/>
    <w:rsid w:val="00FE40F0"/>
    <w:rsid w:val="00FF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34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34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4280">
      <w:bodyDiv w:val="1"/>
      <w:marLeft w:val="0"/>
      <w:marRight w:val="0"/>
      <w:marTop w:val="0"/>
      <w:marBottom w:val="0"/>
      <w:divBdr>
        <w:top w:val="none" w:sz="0" w:space="0" w:color="auto"/>
        <w:left w:val="none" w:sz="0" w:space="0" w:color="auto"/>
        <w:bottom w:val="none" w:sz="0" w:space="0" w:color="auto"/>
        <w:right w:val="none" w:sz="0" w:space="0" w:color="auto"/>
      </w:divBdr>
    </w:div>
    <w:div w:id="1223519287">
      <w:bodyDiv w:val="1"/>
      <w:marLeft w:val="0"/>
      <w:marRight w:val="0"/>
      <w:marTop w:val="0"/>
      <w:marBottom w:val="0"/>
      <w:divBdr>
        <w:top w:val="none" w:sz="0" w:space="0" w:color="auto"/>
        <w:left w:val="none" w:sz="0" w:space="0" w:color="auto"/>
        <w:bottom w:val="none" w:sz="0" w:space="0" w:color="auto"/>
        <w:right w:val="none" w:sz="0" w:space="0" w:color="auto"/>
      </w:divBdr>
    </w:div>
    <w:div w:id="1774981371">
      <w:bodyDiv w:val="1"/>
      <w:marLeft w:val="0"/>
      <w:marRight w:val="0"/>
      <w:marTop w:val="0"/>
      <w:marBottom w:val="0"/>
      <w:divBdr>
        <w:top w:val="none" w:sz="0" w:space="0" w:color="auto"/>
        <w:left w:val="none" w:sz="0" w:space="0" w:color="auto"/>
        <w:bottom w:val="none" w:sz="0" w:space="0" w:color="auto"/>
        <w:right w:val="none" w:sz="0" w:space="0" w:color="auto"/>
      </w:divBdr>
    </w:div>
    <w:div w:id="18242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iercy@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2FDF-4315-4EF8-9E9A-07FCD709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9B9F0A20</Template>
  <TotalTime>23</TotalTime>
  <Pages>5</Pages>
  <Words>1666</Words>
  <Characters>8898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6</cp:revision>
  <cp:lastPrinted>2010-10-15T09:32:00Z</cp:lastPrinted>
  <dcterms:created xsi:type="dcterms:W3CDTF">2015-10-05T14:42:00Z</dcterms:created>
  <dcterms:modified xsi:type="dcterms:W3CDTF">2015-10-06T11:37:00Z</dcterms:modified>
</cp:coreProperties>
</file>